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9" w:rsidRDefault="00E23F99" w:rsidP="00777212">
      <w:pPr>
        <w:rPr>
          <w:noProof/>
          <w:lang w:val="es-MX" w:eastAsia="es-MX"/>
        </w:rPr>
      </w:pPr>
    </w:p>
    <w:p w:rsidR="00E23F99" w:rsidRDefault="00836455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6D25ABDA" wp14:editId="5E18D128">
            <wp:extent cx="8839200" cy="58483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F99" w:rsidRDefault="00E23F99" w:rsidP="00777212">
      <w:pPr>
        <w:rPr>
          <w:noProof/>
          <w:lang w:val="es-MX" w:eastAsia="es-MX"/>
        </w:rPr>
      </w:pPr>
    </w:p>
    <w:p w:rsidR="00E23F99" w:rsidRDefault="00E23F99" w:rsidP="00777212">
      <w:pPr>
        <w:rPr>
          <w:noProof/>
          <w:lang w:val="es-MX" w:eastAsia="es-MX"/>
        </w:rPr>
      </w:pPr>
    </w:p>
    <w:p w:rsidR="00BD6F8D" w:rsidRDefault="00BE4697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2655E65A" wp14:editId="4DB9B8B8">
            <wp:extent cx="8782050" cy="5905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BD6F8D" w:rsidRDefault="00BD6F8D" w:rsidP="00777212">
      <w:pPr>
        <w:rPr>
          <w:noProof/>
          <w:lang w:val="es-MX" w:eastAsia="es-MX"/>
        </w:rPr>
      </w:pPr>
    </w:p>
    <w:p w:rsidR="00951FB3" w:rsidRDefault="00951FB3" w:rsidP="00777212">
      <w:pPr>
        <w:rPr>
          <w:noProof/>
          <w:lang w:val="es-MX" w:eastAsia="es-MX"/>
        </w:rPr>
      </w:pPr>
    </w:p>
    <w:p w:rsidR="00246B3F" w:rsidRDefault="00246B3F" w:rsidP="00777212">
      <w:pPr>
        <w:rPr>
          <w:noProof/>
          <w:lang w:val="es-MX" w:eastAsia="es-MX"/>
        </w:rPr>
      </w:pPr>
    </w:p>
    <w:p w:rsidR="00246B3F" w:rsidRPr="005D1529" w:rsidRDefault="00836455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5E9DEBD4" wp14:editId="7E080F14">
            <wp:extent cx="8829675" cy="57435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46B3F" w:rsidRPr="005D1529" w:rsidSect="00A90621">
      <w:headerReference w:type="even" r:id="rId11"/>
      <w:headerReference w:type="default" r:id="rId12"/>
      <w:headerReference w:type="first" r:id="rId13"/>
      <w:pgSz w:w="16838" w:h="11906" w:orient="landscape"/>
      <w:pgMar w:top="107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24" w:rsidRDefault="00FA3224">
      <w:r>
        <w:separator/>
      </w:r>
    </w:p>
  </w:endnote>
  <w:endnote w:type="continuationSeparator" w:id="0">
    <w:p w:rsidR="00FA3224" w:rsidRDefault="00F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24" w:rsidRDefault="00FA3224">
      <w:r>
        <w:separator/>
      </w:r>
    </w:p>
  </w:footnote>
  <w:footnote w:type="continuationSeparator" w:id="0">
    <w:p w:rsidR="00FA3224" w:rsidRDefault="00FA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FA32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67.6pt;height:456.3pt;z-index:-251658752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FA32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67.6pt;height:456.3pt;z-index:-251657728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FA32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67.6pt;height:456.3pt;z-index:-251659776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cabezado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F"/>
    <w:rsid w:val="00011256"/>
    <w:rsid w:val="0001531E"/>
    <w:rsid w:val="00022EC7"/>
    <w:rsid w:val="0002395E"/>
    <w:rsid w:val="00027242"/>
    <w:rsid w:val="000302EA"/>
    <w:rsid w:val="0003315E"/>
    <w:rsid w:val="000341C0"/>
    <w:rsid w:val="00034458"/>
    <w:rsid w:val="00046387"/>
    <w:rsid w:val="0005249D"/>
    <w:rsid w:val="000536C9"/>
    <w:rsid w:val="00057D55"/>
    <w:rsid w:val="00067FE1"/>
    <w:rsid w:val="0007457D"/>
    <w:rsid w:val="00081697"/>
    <w:rsid w:val="000836A6"/>
    <w:rsid w:val="00086E8E"/>
    <w:rsid w:val="000924DF"/>
    <w:rsid w:val="00095089"/>
    <w:rsid w:val="000973E3"/>
    <w:rsid w:val="000B5ACA"/>
    <w:rsid w:val="000C2D0B"/>
    <w:rsid w:val="000C47CF"/>
    <w:rsid w:val="000D1E18"/>
    <w:rsid w:val="000D60CD"/>
    <w:rsid w:val="000D7DA3"/>
    <w:rsid w:val="000F1346"/>
    <w:rsid w:val="000F3EA9"/>
    <w:rsid w:val="000F3F18"/>
    <w:rsid w:val="000F4F7C"/>
    <w:rsid w:val="000F5966"/>
    <w:rsid w:val="001215FD"/>
    <w:rsid w:val="00126E4F"/>
    <w:rsid w:val="001306EB"/>
    <w:rsid w:val="00132DDB"/>
    <w:rsid w:val="00144190"/>
    <w:rsid w:val="00170AA5"/>
    <w:rsid w:val="00173604"/>
    <w:rsid w:val="001778E4"/>
    <w:rsid w:val="001835DA"/>
    <w:rsid w:val="00192F64"/>
    <w:rsid w:val="0019332D"/>
    <w:rsid w:val="001934C2"/>
    <w:rsid w:val="001956DC"/>
    <w:rsid w:val="001A0AC1"/>
    <w:rsid w:val="001A1766"/>
    <w:rsid w:val="001B1747"/>
    <w:rsid w:val="001B40BA"/>
    <w:rsid w:val="001B57EC"/>
    <w:rsid w:val="001C1956"/>
    <w:rsid w:val="001D0599"/>
    <w:rsid w:val="001D4E7C"/>
    <w:rsid w:val="001D6163"/>
    <w:rsid w:val="001E2114"/>
    <w:rsid w:val="001E5598"/>
    <w:rsid w:val="001F21FA"/>
    <w:rsid w:val="001F2B98"/>
    <w:rsid w:val="001F6A73"/>
    <w:rsid w:val="00206E93"/>
    <w:rsid w:val="00210A0D"/>
    <w:rsid w:val="00214B02"/>
    <w:rsid w:val="0021756A"/>
    <w:rsid w:val="00233930"/>
    <w:rsid w:val="0023714E"/>
    <w:rsid w:val="00242313"/>
    <w:rsid w:val="00246B3F"/>
    <w:rsid w:val="00254D50"/>
    <w:rsid w:val="00256859"/>
    <w:rsid w:val="00265498"/>
    <w:rsid w:val="00275398"/>
    <w:rsid w:val="00292D60"/>
    <w:rsid w:val="002936DD"/>
    <w:rsid w:val="002938A5"/>
    <w:rsid w:val="002A65DD"/>
    <w:rsid w:val="002B11CD"/>
    <w:rsid w:val="002B15BF"/>
    <w:rsid w:val="002C533B"/>
    <w:rsid w:val="002D31F9"/>
    <w:rsid w:val="002D48FB"/>
    <w:rsid w:val="00307C84"/>
    <w:rsid w:val="00312A45"/>
    <w:rsid w:val="00314CF6"/>
    <w:rsid w:val="00317A32"/>
    <w:rsid w:val="00322D41"/>
    <w:rsid w:val="0033319C"/>
    <w:rsid w:val="00337D35"/>
    <w:rsid w:val="003405B2"/>
    <w:rsid w:val="0034213C"/>
    <w:rsid w:val="00355A4A"/>
    <w:rsid w:val="00357F17"/>
    <w:rsid w:val="00361052"/>
    <w:rsid w:val="003611DB"/>
    <w:rsid w:val="00361227"/>
    <w:rsid w:val="003646DF"/>
    <w:rsid w:val="003727FE"/>
    <w:rsid w:val="00380599"/>
    <w:rsid w:val="003818BB"/>
    <w:rsid w:val="00384723"/>
    <w:rsid w:val="00391AD0"/>
    <w:rsid w:val="00392713"/>
    <w:rsid w:val="00396411"/>
    <w:rsid w:val="003A6E16"/>
    <w:rsid w:val="003B6F5E"/>
    <w:rsid w:val="003D1C91"/>
    <w:rsid w:val="003D2995"/>
    <w:rsid w:val="003D3E1F"/>
    <w:rsid w:val="003D4FB6"/>
    <w:rsid w:val="003D7310"/>
    <w:rsid w:val="003F3682"/>
    <w:rsid w:val="003F6F6B"/>
    <w:rsid w:val="004054D1"/>
    <w:rsid w:val="004166DE"/>
    <w:rsid w:val="00421043"/>
    <w:rsid w:val="00430607"/>
    <w:rsid w:val="00435616"/>
    <w:rsid w:val="00445240"/>
    <w:rsid w:val="00463972"/>
    <w:rsid w:val="004664F5"/>
    <w:rsid w:val="00474CB6"/>
    <w:rsid w:val="004842C6"/>
    <w:rsid w:val="00487E3C"/>
    <w:rsid w:val="00494C97"/>
    <w:rsid w:val="004B2519"/>
    <w:rsid w:val="004B3737"/>
    <w:rsid w:val="004B5F08"/>
    <w:rsid w:val="004C5E96"/>
    <w:rsid w:val="004D777A"/>
    <w:rsid w:val="004E6AD3"/>
    <w:rsid w:val="004E7AD2"/>
    <w:rsid w:val="004F502C"/>
    <w:rsid w:val="004F6EFD"/>
    <w:rsid w:val="00501DBB"/>
    <w:rsid w:val="00504927"/>
    <w:rsid w:val="0050703E"/>
    <w:rsid w:val="00511C5D"/>
    <w:rsid w:val="005123E6"/>
    <w:rsid w:val="00536425"/>
    <w:rsid w:val="00545C4E"/>
    <w:rsid w:val="005507F1"/>
    <w:rsid w:val="00550EEE"/>
    <w:rsid w:val="00551916"/>
    <w:rsid w:val="005627BE"/>
    <w:rsid w:val="005758EA"/>
    <w:rsid w:val="00575BB8"/>
    <w:rsid w:val="00581929"/>
    <w:rsid w:val="00584C99"/>
    <w:rsid w:val="00594D23"/>
    <w:rsid w:val="00595097"/>
    <w:rsid w:val="00595AA7"/>
    <w:rsid w:val="005A2243"/>
    <w:rsid w:val="005A493C"/>
    <w:rsid w:val="005A550D"/>
    <w:rsid w:val="005C09A3"/>
    <w:rsid w:val="005C1120"/>
    <w:rsid w:val="005D1529"/>
    <w:rsid w:val="005E19CD"/>
    <w:rsid w:val="005E1F8F"/>
    <w:rsid w:val="005E7E5C"/>
    <w:rsid w:val="005F37B3"/>
    <w:rsid w:val="005F46DD"/>
    <w:rsid w:val="005F555C"/>
    <w:rsid w:val="005F7C5A"/>
    <w:rsid w:val="00610231"/>
    <w:rsid w:val="00617079"/>
    <w:rsid w:val="00621EB4"/>
    <w:rsid w:val="00651724"/>
    <w:rsid w:val="0066135E"/>
    <w:rsid w:val="00662A07"/>
    <w:rsid w:val="00664999"/>
    <w:rsid w:val="006665D9"/>
    <w:rsid w:val="0067136E"/>
    <w:rsid w:val="00674CE3"/>
    <w:rsid w:val="006858F2"/>
    <w:rsid w:val="006859D9"/>
    <w:rsid w:val="006862AC"/>
    <w:rsid w:val="006A5390"/>
    <w:rsid w:val="006A63D0"/>
    <w:rsid w:val="006A72BE"/>
    <w:rsid w:val="006B07B2"/>
    <w:rsid w:val="006C02E4"/>
    <w:rsid w:val="006C38CF"/>
    <w:rsid w:val="006C7442"/>
    <w:rsid w:val="006C76B8"/>
    <w:rsid w:val="006E0164"/>
    <w:rsid w:val="006E3942"/>
    <w:rsid w:val="006F13DD"/>
    <w:rsid w:val="00703CA5"/>
    <w:rsid w:val="00705998"/>
    <w:rsid w:val="00710F11"/>
    <w:rsid w:val="00714169"/>
    <w:rsid w:val="00716DF1"/>
    <w:rsid w:val="00723B8E"/>
    <w:rsid w:val="00731E66"/>
    <w:rsid w:val="00734582"/>
    <w:rsid w:val="0073568D"/>
    <w:rsid w:val="0073687D"/>
    <w:rsid w:val="0074273B"/>
    <w:rsid w:val="00742CB3"/>
    <w:rsid w:val="00754088"/>
    <w:rsid w:val="007611B3"/>
    <w:rsid w:val="00765969"/>
    <w:rsid w:val="00766DC6"/>
    <w:rsid w:val="007770DF"/>
    <w:rsid w:val="00777212"/>
    <w:rsid w:val="007841EB"/>
    <w:rsid w:val="0079444E"/>
    <w:rsid w:val="00794D24"/>
    <w:rsid w:val="007A1E26"/>
    <w:rsid w:val="007A233B"/>
    <w:rsid w:val="007A5AA4"/>
    <w:rsid w:val="007B6B00"/>
    <w:rsid w:val="007C0B46"/>
    <w:rsid w:val="007D008A"/>
    <w:rsid w:val="007D16CE"/>
    <w:rsid w:val="007D6E9F"/>
    <w:rsid w:val="007E054E"/>
    <w:rsid w:val="007E0AD8"/>
    <w:rsid w:val="007E11EA"/>
    <w:rsid w:val="007F499E"/>
    <w:rsid w:val="008020E0"/>
    <w:rsid w:val="00810FB5"/>
    <w:rsid w:val="0081626F"/>
    <w:rsid w:val="00836021"/>
    <w:rsid w:val="00836455"/>
    <w:rsid w:val="00847386"/>
    <w:rsid w:val="0085131E"/>
    <w:rsid w:val="00855559"/>
    <w:rsid w:val="00866A13"/>
    <w:rsid w:val="00867117"/>
    <w:rsid w:val="00874EB1"/>
    <w:rsid w:val="008A1F9D"/>
    <w:rsid w:val="008A268D"/>
    <w:rsid w:val="008A5F82"/>
    <w:rsid w:val="008A69D4"/>
    <w:rsid w:val="008B0833"/>
    <w:rsid w:val="008B0F81"/>
    <w:rsid w:val="008B2A86"/>
    <w:rsid w:val="008B2F3B"/>
    <w:rsid w:val="008B346D"/>
    <w:rsid w:val="008C0FF6"/>
    <w:rsid w:val="008C2D12"/>
    <w:rsid w:val="008C68AD"/>
    <w:rsid w:val="008D1023"/>
    <w:rsid w:val="008D1229"/>
    <w:rsid w:val="008D453A"/>
    <w:rsid w:val="008D7AC0"/>
    <w:rsid w:val="008E064A"/>
    <w:rsid w:val="008F1F08"/>
    <w:rsid w:val="008F3FED"/>
    <w:rsid w:val="008F7338"/>
    <w:rsid w:val="00904633"/>
    <w:rsid w:val="0090507E"/>
    <w:rsid w:val="00906ED8"/>
    <w:rsid w:val="009165BC"/>
    <w:rsid w:val="00920348"/>
    <w:rsid w:val="00937B83"/>
    <w:rsid w:val="00943E84"/>
    <w:rsid w:val="00951FB3"/>
    <w:rsid w:val="0096002B"/>
    <w:rsid w:val="00962ABD"/>
    <w:rsid w:val="0097127F"/>
    <w:rsid w:val="00971DF3"/>
    <w:rsid w:val="00973189"/>
    <w:rsid w:val="00973B0D"/>
    <w:rsid w:val="00975F77"/>
    <w:rsid w:val="0098198E"/>
    <w:rsid w:val="00984916"/>
    <w:rsid w:val="00987B07"/>
    <w:rsid w:val="009A2DA5"/>
    <w:rsid w:val="009A62BE"/>
    <w:rsid w:val="009A711B"/>
    <w:rsid w:val="009B32AB"/>
    <w:rsid w:val="009D2162"/>
    <w:rsid w:val="009D23F7"/>
    <w:rsid w:val="009D54E3"/>
    <w:rsid w:val="009E21D1"/>
    <w:rsid w:val="009E55DF"/>
    <w:rsid w:val="00A004C0"/>
    <w:rsid w:val="00A12855"/>
    <w:rsid w:val="00A208C8"/>
    <w:rsid w:val="00A20A14"/>
    <w:rsid w:val="00A2365B"/>
    <w:rsid w:val="00A44C11"/>
    <w:rsid w:val="00A464D6"/>
    <w:rsid w:val="00A47B63"/>
    <w:rsid w:val="00A60664"/>
    <w:rsid w:val="00A608AA"/>
    <w:rsid w:val="00A6665B"/>
    <w:rsid w:val="00A739DB"/>
    <w:rsid w:val="00A83141"/>
    <w:rsid w:val="00A84D9B"/>
    <w:rsid w:val="00A90621"/>
    <w:rsid w:val="00A90AA4"/>
    <w:rsid w:val="00AA1281"/>
    <w:rsid w:val="00AB390F"/>
    <w:rsid w:val="00AC2B34"/>
    <w:rsid w:val="00AD5488"/>
    <w:rsid w:val="00AD5B14"/>
    <w:rsid w:val="00AF622E"/>
    <w:rsid w:val="00B0391C"/>
    <w:rsid w:val="00B0597C"/>
    <w:rsid w:val="00B07FC3"/>
    <w:rsid w:val="00B12867"/>
    <w:rsid w:val="00B12F69"/>
    <w:rsid w:val="00B145DC"/>
    <w:rsid w:val="00B157A9"/>
    <w:rsid w:val="00B315E0"/>
    <w:rsid w:val="00B34CB5"/>
    <w:rsid w:val="00B37580"/>
    <w:rsid w:val="00B37CDF"/>
    <w:rsid w:val="00B469C2"/>
    <w:rsid w:val="00B630F6"/>
    <w:rsid w:val="00B65526"/>
    <w:rsid w:val="00B701E0"/>
    <w:rsid w:val="00B72A20"/>
    <w:rsid w:val="00B730AB"/>
    <w:rsid w:val="00B764CB"/>
    <w:rsid w:val="00B76BD8"/>
    <w:rsid w:val="00B96962"/>
    <w:rsid w:val="00BA3F64"/>
    <w:rsid w:val="00BA5179"/>
    <w:rsid w:val="00BC2938"/>
    <w:rsid w:val="00BD2ABD"/>
    <w:rsid w:val="00BD6F8D"/>
    <w:rsid w:val="00BE4697"/>
    <w:rsid w:val="00BF3741"/>
    <w:rsid w:val="00BF7B65"/>
    <w:rsid w:val="00C17579"/>
    <w:rsid w:val="00C223C3"/>
    <w:rsid w:val="00C50229"/>
    <w:rsid w:val="00C50285"/>
    <w:rsid w:val="00C52779"/>
    <w:rsid w:val="00C5443D"/>
    <w:rsid w:val="00C754BC"/>
    <w:rsid w:val="00C8470B"/>
    <w:rsid w:val="00C8489E"/>
    <w:rsid w:val="00C86F32"/>
    <w:rsid w:val="00C91BB0"/>
    <w:rsid w:val="00C96A82"/>
    <w:rsid w:val="00CA1361"/>
    <w:rsid w:val="00CB5DD6"/>
    <w:rsid w:val="00CB5E9C"/>
    <w:rsid w:val="00CB7869"/>
    <w:rsid w:val="00CC2241"/>
    <w:rsid w:val="00CE0917"/>
    <w:rsid w:val="00CE10D7"/>
    <w:rsid w:val="00D018C7"/>
    <w:rsid w:val="00D02325"/>
    <w:rsid w:val="00D23DE1"/>
    <w:rsid w:val="00D26138"/>
    <w:rsid w:val="00D3321B"/>
    <w:rsid w:val="00D34B98"/>
    <w:rsid w:val="00D41709"/>
    <w:rsid w:val="00D42AE7"/>
    <w:rsid w:val="00D4748C"/>
    <w:rsid w:val="00D654AF"/>
    <w:rsid w:val="00D81B95"/>
    <w:rsid w:val="00D824E0"/>
    <w:rsid w:val="00D84948"/>
    <w:rsid w:val="00D876B1"/>
    <w:rsid w:val="00D949E2"/>
    <w:rsid w:val="00DA1AA6"/>
    <w:rsid w:val="00DA2731"/>
    <w:rsid w:val="00DB730E"/>
    <w:rsid w:val="00DC109B"/>
    <w:rsid w:val="00DD0BEA"/>
    <w:rsid w:val="00DD2509"/>
    <w:rsid w:val="00DF0D7C"/>
    <w:rsid w:val="00DF596F"/>
    <w:rsid w:val="00E15559"/>
    <w:rsid w:val="00E23F99"/>
    <w:rsid w:val="00E30268"/>
    <w:rsid w:val="00E32814"/>
    <w:rsid w:val="00E36344"/>
    <w:rsid w:val="00E4750A"/>
    <w:rsid w:val="00E52781"/>
    <w:rsid w:val="00E548AC"/>
    <w:rsid w:val="00E5732D"/>
    <w:rsid w:val="00E627EB"/>
    <w:rsid w:val="00E631C3"/>
    <w:rsid w:val="00E651BB"/>
    <w:rsid w:val="00E668F1"/>
    <w:rsid w:val="00E7198F"/>
    <w:rsid w:val="00E72C5A"/>
    <w:rsid w:val="00E75F51"/>
    <w:rsid w:val="00E80C38"/>
    <w:rsid w:val="00E85054"/>
    <w:rsid w:val="00EA5430"/>
    <w:rsid w:val="00EA74C0"/>
    <w:rsid w:val="00EA77C0"/>
    <w:rsid w:val="00EC3860"/>
    <w:rsid w:val="00ED3095"/>
    <w:rsid w:val="00ED3D50"/>
    <w:rsid w:val="00EF4CAE"/>
    <w:rsid w:val="00EF7196"/>
    <w:rsid w:val="00F032BF"/>
    <w:rsid w:val="00F0516A"/>
    <w:rsid w:val="00F3112C"/>
    <w:rsid w:val="00F33F0B"/>
    <w:rsid w:val="00F376F5"/>
    <w:rsid w:val="00F46784"/>
    <w:rsid w:val="00F65496"/>
    <w:rsid w:val="00F734FC"/>
    <w:rsid w:val="00F74B07"/>
    <w:rsid w:val="00F86E8E"/>
    <w:rsid w:val="00F96C81"/>
    <w:rsid w:val="00FA093E"/>
    <w:rsid w:val="00FA3224"/>
    <w:rsid w:val="00FC74FD"/>
    <w:rsid w:val="00FD1695"/>
    <w:rsid w:val="00FE5DF4"/>
    <w:rsid w:val="00FE6933"/>
    <w:rsid w:val="00FE7653"/>
    <w:rsid w:val="00FF49BB"/>
    <w:rsid w:val="00FF538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0%20de%20junio%20de%20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0%20de%20junio%20de%20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0%20de%20junio%20d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000"/>
              <a:t>Visitas Ordinarias del 1</a:t>
            </a:r>
            <a:r>
              <a:rPr lang="es-MX" sz="1000" baseline="0"/>
              <a:t> de enero </a:t>
            </a:r>
            <a:r>
              <a:rPr lang="es-MX" sz="1000"/>
              <a:t>al 30 de junio</a:t>
            </a:r>
            <a:r>
              <a:rPr lang="es-MX" sz="1000" b="1" i="0" u="none" strike="noStrike" baseline="0">
                <a:effectLst/>
              </a:rPr>
              <a:t> </a:t>
            </a:r>
            <a:r>
              <a:rPr lang="es-MX" sz="1000"/>
              <a:t>de 2019</a:t>
            </a:r>
          </a:p>
        </c:rich>
      </c:tx>
      <c:layout>
        <c:manualLayout>
          <c:xMode val="edge"/>
          <c:yMode val="edge"/>
          <c:x val="0.2978929133858268"/>
          <c:y val="0.11346039303996525"/>
        </c:manualLayout>
      </c:layout>
      <c:overlay val="0"/>
      <c:spPr>
        <a:noFill/>
        <a:ln w="25400">
          <a:noFill/>
        </a:ln>
      </c:spPr>
    </c:title>
    <c:autoTitleDeleted val="0"/>
    <c:view3D>
      <c:rotX val="4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47302420530769E-2"/>
          <c:y val="8.4834593261823521E-2"/>
          <c:w val="0.73692773403324585"/>
          <c:h val="0.91516540673817648"/>
        </c:manualLayout>
      </c:layout>
      <c:pie3DChart>
        <c:varyColors val="1"/>
        <c:ser>
          <c:idx val="1"/>
          <c:order val="0"/>
          <c:tx>
            <c:strRef>
              <c:f>V.O.!$D$28:$D$33</c:f>
              <c:strCache>
                <c:ptCount val="1"/>
                <c:pt idx="0">
                  <c:v>Tribunales Colegiados Tribunales Unitarios Juzgados de Distrito Centros de Justicia Penal Plenos de Circuito Unidades de Notificadores Comunes</c:v>
                </c:pt>
              </c:strCache>
            </c:strRef>
          </c:tx>
          <c:spPr>
            <a:ln w="28575">
              <a:noFill/>
            </a:ln>
          </c:spPr>
          <c:dPt>
            <c:idx val="0"/>
            <c:bubble3D val="1"/>
            <c:explosion val="17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00B0F0"/>
              </a:solidFill>
              <a:ln w="28575">
                <a:noFill/>
              </a:ln>
            </c:spPr>
          </c:dPt>
          <c:dPt>
            <c:idx val="2"/>
            <c:bubble3D val="1"/>
            <c:explosion val="9"/>
            <c:spPr>
              <a:solidFill>
                <a:srgbClr val="FFC000"/>
              </a:solidFill>
              <a:ln w="28575">
                <a:noFill/>
              </a:ln>
            </c:spPr>
          </c:dPt>
          <c:dPt>
            <c:idx val="3"/>
            <c:bubble3D val="1"/>
            <c:explosion val="20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4"/>
            <c:bubble3D val="0"/>
            <c:explosion val="26"/>
          </c:dPt>
          <c:dPt>
            <c:idx val="5"/>
            <c:bubble3D val="0"/>
            <c:explosion val="33"/>
          </c:dPt>
          <c:dLbls>
            <c:dLbl>
              <c:idx val="4"/>
              <c:delete val="1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V.O.!$D$28:$D$33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V.O.!$BV$24:$CA$24</c:f>
              <c:numCache>
                <c:formatCode>General</c:formatCode>
                <c:ptCount val="6"/>
                <c:pt idx="0">
                  <c:v>162</c:v>
                </c:pt>
                <c:pt idx="1">
                  <c:v>68</c:v>
                </c:pt>
                <c:pt idx="2">
                  <c:v>275</c:v>
                </c:pt>
                <c:pt idx="3">
                  <c:v>12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800"/>
              <a:t>Cifras de Visitas Extraordinarias del 1 de enero al 30 de junio de 2019</a:t>
            </a:r>
          </a:p>
        </c:rich>
      </c:tx>
      <c:layout>
        <c:manualLayout>
          <c:xMode val="edge"/>
          <c:yMode val="edge"/>
          <c:x val="0.30262671106178318"/>
          <c:y val="0.1261555193039695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296337402885685E-2"/>
          <c:y val="0.20717781402936378"/>
          <c:w val="0.9544950055493896"/>
          <c:h val="0.65579119086460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V.E.!$E$18:$E$21</c:f>
              <c:strCache>
                <c:ptCount val="1"/>
                <c:pt idx="0">
                  <c:v>Tribunales Colegiados Tribunales Unitarios Juzgados de Distrito Centros de Justicia Penal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8807682336045385E-2"/>
                  <c:y val="-2.484558108866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78209396966333E-2"/>
                  <c:y val="-4.350190320826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V.E.!$E$18:$E$21</c:f>
              <c:numCache>
                <c:formatCode>General</c:formatCode>
                <c:ptCount val="4"/>
              </c:numCache>
            </c:numRef>
          </c:cat>
          <c:val>
            <c:numRef>
              <c:f>V.E.!$AX$14:$BA$14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8806656"/>
        <c:axId val="318988672"/>
        <c:axId val="0"/>
      </c:bar3DChart>
      <c:catAx>
        <c:axId val="3188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1898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988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18806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MX" sz="1100"/>
              <a:t>Cifras de Informes del 1 de enero al 30 de junio de 2019</a:t>
            </a:r>
          </a:p>
        </c:rich>
      </c:tx>
      <c:layout>
        <c:manualLayout>
          <c:xMode val="edge"/>
          <c:yMode val="edge"/>
          <c:x val="0.30044981044036162"/>
          <c:y val="0.12427601722198518"/>
        </c:manualLayout>
      </c:layout>
      <c:overlay val="0"/>
    </c:title>
    <c:autoTitleDeleted val="0"/>
    <c:view3D>
      <c:rotX val="4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31468409332381"/>
          <c:y val="8.8117605988906555E-2"/>
          <c:w val="0.66027704870224557"/>
          <c:h val="0.91022522034217435"/>
        </c:manualLayout>
      </c:layout>
      <c:pie3DChart>
        <c:varyColors val="1"/>
        <c:ser>
          <c:idx val="0"/>
          <c:order val="0"/>
          <c:tx>
            <c:strRef>
              <c:f>I.C.!$D$14:$D$18</c:f>
              <c:strCache>
                <c:ptCount val="1"/>
                <c:pt idx="0">
                  <c:v>Tribunales Colegiados Tribunales Unitarios Juzgados de Distrito Pleno de Circuito Centros de Justicia Penal Federal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9"/>
            <c:spPr>
              <a:solidFill>
                <a:srgbClr val="00B0F0"/>
              </a:solidFill>
            </c:spPr>
          </c:dPt>
          <c:dPt>
            <c:idx val="2"/>
            <c:bubble3D val="0"/>
            <c:explosion val="7"/>
            <c:spPr>
              <a:solidFill>
                <a:srgbClr val="EA22BF"/>
              </a:solidFill>
            </c:spPr>
          </c:dPt>
          <c:dPt>
            <c:idx val="3"/>
            <c:bubble3D val="0"/>
            <c:explosion val="5"/>
          </c:dPt>
          <c:dLbls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I.C.!$D$14:$D$18</c:f>
              <c:strCache>
                <c:ptCount val="5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Pleno de Circuito</c:v>
                </c:pt>
                <c:pt idx="4">
                  <c:v>Centros de Justicia Penal Federal</c:v>
                </c:pt>
              </c:strCache>
            </c:strRef>
          </c:cat>
          <c:val>
            <c:numRef>
              <c:f>I.C.!$BJ$10:$BN$10</c:f>
              <c:numCache>
                <c:formatCode>General</c:formatCode>
                <c:ptCount val="5"/>
                <c:pt idx="0">
                  <c:v>105</c:v>
                </c:pt>
                <c:pt idx="1">
                  <c:v>31</c:v>
                </c:pt>
                <c:pt idx="2">
                  <c:v>171</c:v>
                </c:pt>
                <c:pt idx="3">
                  <c:v>50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0.29351</cdr:x>
      <cdr:y>0.01275</cdr:y>
    </cdr:from>
    <cdr:to>
      <cdr:x>0.70201</cdr:x>
      <cdr:y>0.10182</cdr:y>
    </cdr:to>
    <cdr:sp macro="" textlink="">
      <cdr:nvSpPr>
        <cdr:cNvPr id="15053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134" y="74216"/>
          <a:ext cx="3501867" cy="518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Consejo de la Judicatura Federal</a:t>
          </a:r>
          <a:endParaRPr lang="es-MX" sz="9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0.38921</cdr:x>
      <cdr:y>0.92224</cdr:y>
    </cdr:from>
    <cdr:to>
      <cdr:x>0.55214</cdr:x>
      <cdr:y>0.95538</cdr:y>
    </cdr:to>
    <cdr:sp macro="" textlink="">
      <cdr:nvSpPr>
        <cdr:cNvPr id="15053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6486" y="5368199"/>
          <a:ext cx="1396706" cy="1929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1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520 visitas</a:t>
          </a:r>
        </a:p>
      </cdr:txBody>
    </cdr:sp>
  </cdr:relSizeAnchor>
  <cdr:relSizeAnchor xmlns:cdr="http://schemas.openxmlformats.org/drawingml/2006/chartDrawing">
    <cdr:from>
      <cdr:x>0.00593</cdr:x>
      <cdr:y>0.00873</cdr:y>
    </cdr:from>
    <cdr:to>
      <cdr:x>0.12099</cdr:x>
      <cdr:y>0.17905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0.4125</cdr:x>
      <cdr:y>0.95119</cdr:y>
    </cdr:from>
    <cdr:to>
      <cdr:x>0.5228</cdr:x>
      <cdr:y>0.9819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2201" y="5568468"/>
          <a:ext cx="947182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10 visitas</a:t>
          </a:r>
        </a:p>
      </cdr:txBody>
    </cdr:sp>
  </cdr:relSizeAnchor>
  <cdr:relSizeAnchor xmlns:cdr="http://schemas.openxmlformats.org/drawingml/2006/chartDrawing">
    <cdr:from>
      <cdr:x>0.30536</cdr:x>
      <cdr:y>0.01142</cdr:y>
    </cdr:from>
    <cdr:to>
      <cdr:x>0.71036</cdr:x>
      <cdr:y>0.12717</cdr:y>
    </cdr:to>
    <cdr:sp macro="" textlink="">
      <cdr:nvSpPr>
        <cdr:cNvPr id="2355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606" y="66675"/>
          <a:ext cx="3475720" cy="675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0.00591</cdr:x>
      <cdr:y>0.00867</cdr:y>
    </cdr:from>
    <cdr:to>
      <cdr:x>0.12072</cdr:x>
      <cdr:y>0.17791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0.28877</cdr:x>
      <cdr:y>0.01455</cdr:y>
    </cdr:from>
    <cdr:to>
      <cdr:x>0.69727</cdr:x>
      <cdr:y>0.1303</cdr:y>
    </cdr:to>
    <cdr:sp macro="" textlink="">
      <cdr:nvSpPr>
        <cdr:cNvPr id="1587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5442" y="84666"/>
          <a:ext cx="3501866" cy="67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Poder Judicial de la Federación</a:t>
          </a:r>
          <a:endParaRPr lang="es-MX" sz="900">
            <a:effectLst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0.79926</cdr:x>
      <cdr:y>0.91516</cdr:y>
    </cdr:from>
    <cdr:to>
      <cdr:x>0.93442</cdr:x>
      <cdr:y>0.94306</cdr:y>
    </cdr:to>
    <cdr:sp macro="" textlink="">
      <cdr:nvSpPr>
        <cdr:cNvPr id="158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64345" y="5898435"/>
          <a:ext cx="116083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382 informes</a:t>
          </a:r>
        </a:p>
      </cdr:txBody>
    </cdr:sp>
  </cdr:relSizeAnchor>
  <cdr:relSizeAnchor xmlns:cdr="http://schemas.openxmlformats.org/drawingml/2006/chartDrawing">
    <cdr:from>
      <cdr:x>0.00593</cdr:x>
      <cdr:y>0.00787</cdr:y>
    </cdr:from>
    <cdr:to>
      <cdr:x>0.12099</cdr:x>
      <cdr:y>0.16144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B9C3-30EE-4CDA-99B1-D5AEF68E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Jbramirez</dc:creator>
  <cp:lastModifiedBy>José Octavio Bañuelos Ramírez</cp:lastModifiedBy>
  <cp:revision>4</cp:revision>
  <dcterms:created xsi:type="dcterms:W3CDTF">2019-07-02T17:45:00Z</dcterms:created>
  <dcterms:modified xsi:type="dcterms:W3CDTF">2019-07-05T18:16:00Z</dcterms:modified>
</cp:coreProperties>
</file>