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5E" w:rsidRDefault="00670E5E" w:rsidP="00625B50">
      <w:pPr>
        <w:spacing w:after="0" w:line="240" w:lineRule="auto"/>
        <w:jc w:val="right"/>
        <w:rPr>
          <w:rFonts w:cstheme="minorHAnsi"/>
          <w:sz w:val="8"/>
        </w:rPr>
      </w:pPr>
    </w:p>
    <w:p w:rsidR="00670E5E" w:rsidRPr="002B5463" w:rsidRDefault="00670E5E" w:rsidP="00625B50">
      <w:pPr>
        <w:spacing w:after="0" w:line="240" w:lineRule="auto"/>
        <w:jc w:val="right"/>
        <w:rPr>
          <w:rFonts w:cstheme="minorHAnsi"/>
          <w:sz w:val="8"/>
        </w:rPr>
      </w:pPr>
    </w:p>
    <w:p w:rsidR="00670E5E" w:rsidRDefault="00670E5E" w:rsidP="00625B50">
      <w:pPr>
        <w:spacing w:after="0" w:line="240" w:lineRule="auto"/>
        <w:jc w:val="right"/>
        <w:rPr>
          <w:rFonts w:cstheme="minorHAnsi"/>
        </w:rPr>
      </w:pPr>
      <w:r>
        <w:rPr>
          <w:rFonts w:cstheme="minorHAnsi"/>
        </w:rPr>
        <w:t xml:space="preserve">Ciudad de </w:t>
      </w:r>
      <w:r w:rsidRPr="001958C4">
        <w:rPr>
          <w:rFonts w:cstheme="minorHAnsi"/>
        </w:rPr>
        <w:t xml:space="preserve">México,  a </w:t>
      </w:r>
      <w:r w:rsidRPr="00710CC2">
        <w:rPr>
          <w:rFonts w:cstheme="minorHAnsi"/>
          <w:noProof/>
          <w:color w:val="0000FF"/>
        </w:rPr>
        <w:t>22 de abril de 2016</w:t>
      </w:r>
      <w:r w:rsidRPr="001958C4">
        <w:rPr>
          <w:rFonts w:cstheme="minorHAnsi"/>
          <w:color w:val="0000FF"/>
        </w:rPr>
        <w:t>.</w:t>
      </w:r>
    </w:p>
    <w:p w:rsidR="00670E5E" w:rsidRPr="003B6D90" w:rsidRDefault="00670E5E" w:rsidP="00625B50">
      <w:pPr>
        <w:spacing w:after="0" w:line="240" w:lineRule="auto"/>
        <w:jc w:val="right"/>
        <w:rPr>
          <w:rFonts w:cstheme="minorHAnsi"/>
        </w:rPr>
      </w:pPr>
    </w:p>
    <w:p w:rsidR="00670E5E" w:rsidRPr="00355EDE" w:rsidRDefault="00670E5E" w:rsidP="00625B50">
      <w:pPr>
        <w:pStyle w:val="Sinespaciado"/>
        <w:jc w:val="center"/>
        <w:rPr>
          <w:rFonts w:asciiTheme="minorHAnsi" w:hAnsiTheme="minorHAnsi" w:cstheme="minorHAnsi"/>
          <w:b/>
          <w:color w:val="0000FF"/>
        </w:rPr>
      </w:pPr>
      <w:r w:rsidRPr="003B6D90">
        <w:rPr>
          <w:rFonts w:asciiTheme="minorHAnsi" w:hAnsiTheme="minorHAnsi" w:cstheme="minorHAnsi"/>
          <w:b/>
        </w:rPr>
        <w:t xml:space="preserve">DICTAMEN </w:t>
      </w:r>
      <w:r w:rsidRPr="00FB31D7">
        <w:rPr>
          <w:rFonts w:asciiTheme="minorHAnsi" w:hAnsiTheme="minorHAnsi" w:cstheme="minorHAnsi"/>
          <w:b/>
        </w:rPr>
        <w:t>D</w:t>
      </w:r>
      <w:r>
        <w:rPr>
          <w:rFonts w:asciiTheme="minorHAnsi" w:hAnsiTheme="minorHAnsi" w:cstheme="minorHAnsi"/>
          <w:b/>
        </w:rPr>
        <w:t xml:space="preserve">E ADJUDICACIÓN </w:t>
      </w:r>
      <w:r w:rsidRPr="003B6D90">
        <w:rPr>
          <w:rFonts w:asciiTheme="minorHAnsi" w:hAnsiTheme="minorHAnsi" w:cstheme="minorHAnsi"/>
          <w:b/>
        </w:rPr>
        <w:t>No</w:t>
      </w:r>
      <w:r w:rsidRPr="0021352D">
        <w:rPr>
          <w:rFonts w:asciiTheme="minorHAnsi" w:hAnsiTheme="minorHAnsi" w:cstheme="minorHAnsi"/>
          <w:b/>
        </w:rPr>
        <w:t xml:space="preserve">. </w:t>
      </w:r>
      <w:r w:rsidRPr="00710CC2">
        <w:rPr>
          <w:rFonts w:cstheme="minorHAnsi"/>
          <w:b/>
          <w:noProof/>
          <w:color w:val="0000FF"/>
        </w:rPr>
        <w:t>SEA/DGIM/017/2016</w:t>
      </w:r>
    </w:p>
    <w:p w:rsidR="00670E5E" w:rsidRPr="001F577F" w:rsidRDefault="00670E5E" w:rsidP="00625B50">
      <w:pPr>
        <w:pStyle w:val="Sinespaciado"/>
        <w:jc w:val="center"/>
        <w:rPr>
          <w:rFonts w:asciiTheme="minorHAnsi" w:hAnsiTheme="minorHAnsi" w:cstheme="minorHAnsi"/>
          <w:b/>
        </w:rPr>
      </w:pPr>
      <w:r w:rsidRPr="00F047B4">
        <w:rPr>
          <w:rFonts w:cstheme="minorHAnsi"/>
          <w:b/>
          <w:noProof/>
        </w:rPr>
        <w:t>INVITACIÓN A CUANDO MENOS TRES CONTRATISTAS</w:t>
      </w:r>
      <w:r w:rsidRPr="0021352D">
        <w:rPr>
          <w:rFonts w:asciiTheme="minorHAnsi" w:hAnsiTheme="minorHAnsi" w:cstheme="minorHAnsi"/>
          <w:b/>
        </w:rPr>
        <w:t xml:space="preserve"> No. </w:t>
      </w:r>
      <w:r w:rsidRPr="00710CC2">
        <w:rPr>
          <w:rFonts w:cstheme="minorHAnsi"/>
          <w:b/>
          <w:noProof/>
          <w:color w:val="0000FF"/>
        </w:rPr>
        <w:t>CJF-07/ITC/PMECM/2016</w:t>
      </w:r>
    </w:p>
    <w:p w:rsidR="00670E5E" w:rsidRPr="002E5D05" w:rsidRDefault="00670E5E" w:rsidP="00644E8B">
      <w:pPr>
        <w:spacing w:after="0" w:line="240" w:lineRule="auto"/>
        <w:jc w:val="both"/>
        <w:rPr>
          <w:rFonts w:cstheme="minorHAnsi"/>
          <w:b/>
          <w:sz w:val="20"/>
          <w:szCs w:val="16"/>
          <w:u w:val="single"/>
        </w:rPr>
      </w:pPr>
    </w:p>
    <w:p w:rsidR="00670E5E" w:rsidRPr="001F577F" w:rsidRDefault="00670E5E" w:rsidP="00E84263">
      <w:pPr>
        <w:spacing w:after="0" w:line="240" w:lineRule="auto"/>
        <w:jc w:val="both"/>
        <w:rPr>
          <w:rFonts w:cstheme="minorHAnsi"/>
          <w:b/>
          <w:color w:val="365F91" w:themeColor="accent1" w:themeShade="BF"/>
        </w:rPr>
      </w:pPr>
      <w:r w:rsidRPr="001F577F">
        <w:rPr>
          <w:rFonts w:cstheme="minorHAnsi"/>
          <w:b/>
        </w:rPr>
        <w:t xml:space="preserve">ASUNTO </w:t>
      </w:r>
    </w:p>
    <w:p w:rsidR="00670E5E" w:rsidRPr="001D4D7F" w:rsidRDefault="00670E5E" w:rsidP="00644E8B">
      <w:pPr>
        <w:spacing w:after="0" w:line="240" w:lineRule="auto"/>
        <w:jc w:val="both"/>
        <w:rPr>
          <w:rFonts w:cstheme="minorHAnsi"/>
          <w:noProof/>
          <w:color w:val="0000FF"/>
        </w:rPr>
      </w:pPr>
      <w:r>
        <w:rPr>
          <w:rFonts w:cstheme="minorHAnsi"/>
        </w:rPr>
        <w:t>Invitación a Cuando Menos Tres Contratistas</w:t>
      </w:r>
      <w:r w:rsidRPr="001F577F">
        <w:rPr>
          <w:rFonts w:cstheme="minorHAnsi"/>
        </w:rPr>
        <w:t xml:space="preserve"> No. </w:t>
      </w:r>
      <w:r w:rsidRPr="00710CC2">
        <w:rPr>
          <w:rFonts w:cstheme="minorHAnsi"/>
          <w:noProof/>
          <w:color w:val="0000FF"/>
        </w:rPr>
        <w:t>CJF-07/ITC/PMECM/2016</w:t>
      </w:r>
      <w:r w:rsidRPr="00355EDE">
        <w:rPr>
          <w:rFonts w:cstheme="minorHAnsi"/>
          <w:color w:val="0000FF"/>
        </w:rPr>
        <w:t xml:space="preserve">, </w:t>
      </w:r>
      <w:r w:rsidRPr="00710CC2">
        <w:rPr>
          <w:rFonts w:cstheme="minorHAnsi"/>
          <w:noProof/>
          <w:color w:val="0000FF"/>
        </w:rPr>
        <w:t>sobre la base de Precios Unitarios y Tiempo Determinado</w:t>
      </w:r>
      <w:r w:rsidRPr="001F577F">
        <w:rPr>
          <w:rFonts w:cstheme="minorHAnsi"/>
        </w:rPr>
        <w:t xml:space="preserve">, </w:t>
      </w:r>
      <w:r w:rsidRPr="00AE7E7A">
        <w:rPr>
          <w:rFonts w:cstheme="minorHAnsi"/>
        </w:rPr>
        <w:t>para llevar a cabo</w:t>
      </w:r>
      <w:r>
        <w:rPr>
          <w:rFonts w:cstheme="minorHAnsi"/>
        </w:rPr>
        <w:t xml:space="preserve"> la</w:t>
      </w:r>
      <w:r w:rsidRPr="00AE7E7A">
        <w:rPr>
          <w:rFonts w:cstheme="minorHAnsi"/>
        </w:rPr>
        <w:t xml:space="preserve"> </w:t>
      </w:r>
      <w:r w:rsidRPr="00710CC2">
        <w:rPr>
          <w:rFonts w:cstheme="minorHAnsi"/>
          <w:b/>
          <w:noProof/>
          <w:color w:val="0000FF"/>
        </w:rPr>
        <w:t>"PÓLIZA DE MANTENIMIENTO PREVENTIVO Y CORRECTIVO AL SISTEMA DE AIRE ACONDICIONADO PARA EL CENTRO DE CÓMPUTO PRINCIPAL DEL CONSEJO, UBICADO EN EL EDIFICIO SEDE DENOMINADO CANOA  EN LA CIUDAD DE MÉXICO" Y</w:t>
      </w:r>
      <w:r>
        <w:rPr>
          <w:rFonts w:cstheme="minorHAnsi"/>
          <w:b/>
          <w:noProof/>
          <w:color w:val="0000FF"/>
        </w:rPr>
        <w:t xml:space="preserve"> </w:t>
      </w:r>
      <w:r w:rsidRPr="00710CC2">
        <w:rPr>
          <w:rFonts w:cstheme="minorHAnsi"/>
          <w:b/>
          <w:noProof/>
          <w:color w:val="0000FF"/>
        </w:rPr>
        <w:t>"PÓLIZA DE MANTENIMIENTO PREVENTIVO Y CORRECTIVO AL SISTEMA DE ENERGÍA ININTERRUMPIDA, UP´S, TABLEROS DE UNIDADES DE DISTRIBUCIÓN DE ENERGÍA REGULADA, SUPRESORES DE TRANSITORIOS, TRANSFORMADORES, ELECTRODUCTOS, SISTEMAS DE TRANSFERENCIA AUTOMÁTICA,</w:t>
      </w:r>
      <w:r>
        <w:rPr>
          <w:rFonts w:cstheme="minorHAnsi"/>
          <w:b/>
          <w:noProof/>
          <w:color w:val="0000FF"/>
        </w:rPr>
        <w:t xml:space="preserve"> </w:t>
      </w:r>
      <w:r w:rsidRPr="00710CC2">
        <w:rPr>
          <w:rFonts w:cstheme="minorHAnsi"/>
          <w:b/>
          <w:noProof/>
          <w:color w:val="0000FF"/>
        </w:rPr>
        <w:t>INTERRUPTORES TERMOMAGNÉTICOS PARA EL CENTRO DE CÓMPUTO PRINCIPAL DEL CONSEJO, UBICADO EN EL EDIFICIO SEDE DENOMINADO CANOA EN LA CIUDAD DE MÉXICO"</w:t>
      </w:r>
      <w:r>
        <w:rPr>
          <w:rFonts w:cstheme="minorHAnsi"/>
          <w:b/>
          <w:noProof/>
          <w:color w:val="0000FF"/>
        </w:rPr>
        <w:t xml:space="preserve"> </w:t>
      </w:r>
      <w:r w:rsidRPr="001D4D7F">
        <w:rPr>
          <w:rFonts w:cstheme="minorHAnsi"/>
          <w:noProof/>
        </w:rPr>
        <w:t xml:space="preserve">ubicado en </w:t>
      </w:r>
      <w:r w:rsidRPr="00710CC2">
        <w:rPr>
          <w:rFonts w:cstheme="minorHAnsi"/>
          <w:noProof/>
          <w:color w:val="0000FF"/>
        </w:rPr>
        <w:t>Avenida Canoa No. 79, Colonia Tizapán San Ángel, C.P. 01090, Delegación Álvaro Obregón, Ciudad de México</w:t>
      </w:r>
      <w:r>
        <w:rPr>
          <w:rFonts w:cstheme="minorHAnsi"/>
          <w:noProof/>
          <w:color w:val="0000FF"/>
        </w:rPr>
        <w:t>.</w:t>
      </w:r>
    </w:p>
    <w:p w:rsidR="00670E5E" w:rsidRPr="00802D7B" w:rsidRDefault="00670E5E" w:rsidP="00F40E3F">
      <w:pPr>
        <w:spacing w:after="0" w:line="240" w:lineRule="auto"/>
        <w:jc w:val="both"/>
        <w:rPr>
          <w:rFonts w:cstheme="minorHAnsi"/>
          <w:sz w:val="24"/>
        </w:rPr>
      </w:pPr>
    </w:p>
    <w:p w:rsidR="00670E5E" w:rsidRDefault="00670E5E" w:rsidP="00F40E3F">
      <w:pPr>
        <w:spacing w:after="0" w:line="240" w:lineRule="auto"/>
        <w:jc w:val="both"/>
        <w:rPr>
          <w:rFonts w:cstheme="minorHAnsi"/>
          <w:i/>
          <w:color w:val="365F91" w:themeColor="accent1" w:themeShade="BF"/>
          <w:sz w:val="20"/>
          <w:szCs w:val="20"/>
        </w:rPr>
      </w:pPr>
      <w:r w:rsidRPr="001F577F">
        <w:rPr>
          <w:rFonts w:cstheme="minorHAnsi"/>
          <w:b/>
        </w:rPr>
        <w:t>SUPUESTO</w:t>
      </w:r>
      <w:r w:rsidRPr="001F577F">
        <w:rPr>
          <w:rFonts w:cstheme="minorHAnsi"/>
          <w:i/>
          <w:color w:val="365F91" w:themeColor="accent1" w:themeShade="BF"/>
          <w:sz w:val="20"/>
          <w:szCs w:val="20"/>
        </w:rPr>
        <w:t xml:space="preserve"> </w:t>
      </w:r>
    </w:p>
    <w:p w:rsidR="00670E5E" w:rsidRPr="002B5463" w:rsidRDefault="00670E5E" w:rsidP="00F40E3F">
      <w:pPr>
        <w:spacing w:after="0" w:line="240" w:lineRule="auto"/>
        <w:jc w:val="both"/>
        <w:rPr>
          <w:rFonts w:cstheme="minorHAnsi"/>
          <w:b/>
          <w:sz w:val="4"/>
        </w:rPr>
      </w:pPr>
    </w:p>
    <w:p w:rsidR="00670E5E" w:rsidRPr="00355EDE" w:rsidRDefault="00670E5E" w:rsidP="00B47175">
      <w:pPr>
        <w:pStyle w:val="Prrafodelista"/>
        <w:numPr>
          <w:ilvl w:val="0"/>
          <w:numId w:val="5"/>
        </w:numPr>
        <w:spacing w:after="0" w:line="240" w:lineRule="auto"/>
        <w:jc w:val="both"/>
        <w:rPr>
          <w:rFonts w:cstheme="minorHAnsi"/>
          <w:b/>
          <w:color w:val="0000FF"/>
          <w:u w:val="single"/>
        </w:rPr>
      </w:pPr>
      <w:r w:rsidRPr="00BE3D3B">
        <w:rPr>
          <w:rFonts w:cstheme="minorHAnsi"/>
          <w:noProof/>
          <w:color w:val="0000FF"/>
        </w:rPr>
        <w:t>INVITACIÓN A CUANDO MENOS TRES CONTRATISTAS</w:t>
      </w:r>
      <w:r>
        <w:rPr>
          <w:rFonts w:cstheme="minorHAnsi"/>
          <w:color w:val="0000FF"/>
        </w:rPr>
        <w:t>.</w:t>
      </w:r>
    </w:p>
    <w:p w:rsidR="00670E5E" w:rsidRPr="00802D7B" w:rsidRDefault="00670E5E" w:rsidP="00644E8B">
      <w:pPr>
        <w:spacing w:after="0" w:line="240" w:lineRule="auto"/>
        <w:jc w:val="both"/>
        <w:rPr>
          <w:rFonts w:cstheme="minorHAnsi"/>
          <w:b/>
          <w:sz w:val="24"/>
          <w:u w:val="single"/>
        </w:rPr>
      </w:pPr>
    </w:p>
    <w:p w:rsidR="00670E5E" w:rsidRPr="001F577F" w:rsidRDefault="00670E5E" w:rsidP="00673A9A">
      <w:pPr>
        <w:spacing w:after="0" w:line="240" w:lineRule="auto"/>
        <w:rPr>
          <w:rFonts w:cstheme="minorHAnsi"/>
          <w:b/>
        </w:rPr>
      </w:pPr>
      <w:r w:rsidRPr="001F577F">
        <w:rPr>
          <w:rFonts w:cstheme="minorHAnsi"/>
          <w:b/>
        </w:rPr>
        <w:t xml:space="preserve">INFORMACIÓN GENERAL DE </w:t>
      </w:r>
      <w:r w:rsidRPr="001C722B">
        <w:rPr>
          <w:rFonts w:cstheme="minorHAnsi"/>
          <w:b/>
        </w:rPr>
        <w:t xml:space="preserve">LOS TRABAJOS </w:t>
      </w:r>
      <w:r w:rsidRPr="001F577F">
        <w:rPr>
          <w:rFonts w:cstheme="minorHAnsi"/>
          <w:b/>
        </w:rPr>
        <w:t>/CONTRATACIÓN</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76"/>
        <w:gridCol w:w="6552"/>
      </w:tblGrid>
      <w:tr w:rsidR="00670E5E" w:rsidRPr="001F577F" w:rsidTr="003E0185">
        <w:trPr>
          <w:trHeight w:val="686"/>
        </w:trPr>
        <w:tc>
          <w:tcPr>
            <w:tcW w:w="3276" w:type="dxa"/>
            <w:vAlign w:val="center"/>
          </w:tcPr>
          <w:p w:rsidR="00670E5E" w:rsidRPr="001F577F" w:rsidRDefault="00670E5E" w:rsidP="001C722B">
            <w:pPr>
              <w:jc w:val="both"/>
              <w:rPr>
                <w:rFonts w:cstheme="minorHAnsi"/>
                <w:b/>
              </w:rPr>
            </w:pPr>
            <w:r w:rsidRPr="001F577F">
              <w:rPr>
                <w:rFonts w:cstheme="minorHAnsi"/>
                <w:b/>
              </w:rPr>
              <w:t xml:space="preserve">Descripción de </w:t>
            </w:r>
            <w:r w:rsidRPr="001C722B">
              <w:rPr>
                <w:rFonts w:cstheme="minorHAnsi"/>
                <w:b/>
              </w:rPr>
              <w:t>los trabajos</w:t>
            </w:r>
          </w:p>
        </w:tc>
        <w:tc>
          <w:tcPr>
            <w:tcW w:w="6552" w:type="dxa"/>
            <w:vAlign w:val="center"/>
          </w:tcPr>
          <w:p w:rsidR="00670E5E" w:rsidRPr="002B5463" w:rsidRDefault="00670E5E" w:rsidP="008D3AF8">
            <w:pPr>
              <w:jc w:val="both"/>
              <w:rPr>
                <w:rFonts w:cstheme="minorHAnsi"/>
                <w:b/>
                <w:color w:val="0000FF"/>
                <w:w w:val="97"/>
                <w:sz w:val="20"/>
              </w:rPr>
            </w:pPr>
            <w:r w:rsidRPr="00710CC2">
              <w:rPr>
                <w:rFonts w:cstheme="minorHAnsi"/>
                <w:b/>
                <w:noProof/>
                <w:color w:val="0000FF"/>
                <w:w w:val="97"/>
              </w:rPr>
              <w:t>"PÓLIZA DE MANTENIMIENTO PREVENTIVO Y CORRECTIVO AL SISTEMA DE AIRE ACONDICIONADO PARA EL CENTRO DE CÓMPUTO PRINCIPAL DEL CONSEJO, UBICADO EN EL EDIFICIO SEDE DENOMINADO CANOA  EN LA CIUDAD DE MÉXICO" Y</w:t>
            </w:r>
            <w:r w:rsidRPr="002B5463">
              <w:rPr>
                <w:rFonts w:cstheme="minorHAnsi"/>
                <w:b/>
                <w:noProof/>
                <w:color w:val="0000FF"/>
                <w:w w:val="97"/>
              </w:rPr>
              <w:t xml:space="preserve"> </w:t>
            </w:r>
            <w:r w:rsidRPr="00710CC2">
              <w:rPr>
                <w:rFonts w:cstheme="minorHAnsi"/>
                <w:b/>
                <w:noProof/>
                <w:color w:val="0000FF"/>
                <w:w w:val="97"/>
              </w:rPr>
              <w:t>"PÓLIZA DE MANTENIMIENTO PREVENTIVO Y CORRECTIVO AL SISTEMA DE ENERGÍA ININTERRUMPIDA, UP´S, TABLEROS DE UNIDADES DE DISTRIBUCIÓN DE ENERGÍA REGULADA, SUPRESORES DE TRANSITORIOS, TRANSFORMADORES, ELECTRODUCTOS, SISTEMAS DE TRANSFERENCIA AUTOMÁTICA,</w:t>
            </w:r>
            <w:r w:rsidRPr="002B5463">
              <w:rPr>
                <w:rFonts w:cstheme="minorHAnsi"/>
                <w:b/>
                <w:noProof/>
                <w:color w:val="0000FF"/>
                <w:w w:val="97"/>
              </w:rPr>
              <w:t xml:space="preserve"> </w:t>
            </w:r>
            <w:r w:rsidRPr="00710CC2">
              <w:rPr>
                <w:rFonts w:cstheme="minorHAnsi"/>
                <w:b/>
                <w:noProof/>
                <w:color w:val="0000FF"/>
                <w:w w:val="97"/>
              </w:rPr>
              <w:t>INTERRUPTORES TERMOMAGNÉTICOS PARA EL CENTRO DE CÓMPUTO PRINCIPAL DEL CONSEJO, UBICADO EN EL EDIFICIO SEDE DENOMINADO CANOA EN LA CIUDAD DE MÉXICO"</w:t>
            </w:r>
          </w:p>
        </w:tc>
      </w:tr>
      <w:tr w:rsidR="00670E5E" w:rsidRPr="001F577F" w:rsidTr="003E0185">
        <w:trPr>
          <w:trHeight w:val="285"/>
        </w:trPr>
        <w:tc>
          <w:tcPr>
            <w:tcW w:w="3276" w:type="dxa"/>
            <w:vAlign w:val="center"/>
          </w:tcPr>
          <w:p w:rsidR="00670E5E" w:rsidRPr="001F577F" w:rsidRDefault="00670E5E" w:rsidP="00B1122D">
            <w:pPr>
              <w:jc w:val="both"/>
              <w:rPr>
                <w:rFonts w:cstheme="minorHAnsi"/>
                <w:b/>
              </w:rPr>
            </w:pPr>
            <w:r w:rsidRPr="001F577F">
              <w:rPr>
                <w:rFonts w:cstheme="minorHAnsi"/>
                <w:b/>
              </w:rPr>
              <w:t>Tipo de Contratación</w:t>
            </w:r>
          </w:p>
        </w:tc>
        <w:tc>
          <w:tcPr>
            <w:tcW w:w="6552" w:type="dxa"/>
            <w:vAlign w:val="center"/>
          </w:tcPr>
          <w:p w:rsidR="00670E5E" w:rsidRPr="0004235C" w:rsidRDefault="00670E5E" w:rsidP="00FB6BBA">
            <w:pPr>
              <w:jc w:val="both"/>
              <w:rPr>
                <w:rFonts w:cstheme="minorHAnsi"/>
                <w:color w:val="0000FF"/>
              </w:rPr>
            </w:pPr>
            <w:r>
              <w:rPr>
                <w:rFonts w:cstheme="minorHAnsi"/>
                <w:noProof/>
                <w:color w:val="0000FF"/>
              </w:rPr>
              <w:t>Precios Unitarios y Tiempo Determinado</w:t>
            </w:r>
            <w:r w:rsidRPr="0004235C">
              <w:rPr>
                <w:rFonts w:cstheme="minorHAnsi"/>
                <w:color w:val="0000FF"/>
              </w:rPr>
              <w:t xml:space="preserve"> </w:t>
            </w:r>
          </w:p>
        </w:tc>
      </w:tr>
      <w:tr w:rsidR="00670E5E" w:rsidRPr="001F577F" w:rsidTr="00C54A1B">
        <w:trPr>
          <w:trHeight w:val="397"/>
        </w:trPr>
        <w:tc>
          <w:tcPr>
            <w:tcW w:w="3276" w:type="dxa"/>
            <w:vAlign w:val="center"/>
          </w:tcPr>
          <w:p w:rsidR="00670E5E" w:rsidRPr="001F577F" w:rsidRDefault="00670E5E" w:rsidP="001C722B">
            <w:pPr>
              <w:jc w:val="both"/>
              <w:rPr>
                <w:rFonts w:cstheme="minorHAnsi"/>
                <w:b/>
              </w:rPr>
            </w:pPr>
            <w:r w:rsidRPr="001F577F">
              <w:rPr>
                <w:rFonts w:cstheme="minorHAnsi"/>
                <w:b/>
              </w:rPr>
              <w:t>Destino de</w:t>
            </w:r>
            <w:r>
              <w:rPr>
                <w:rFonts w:cstheme="minorHAnsi"/>
                <w:b/>
              </w:rPr>
              <w:t xml:space="preserve"> los </w:t>
            </w:r>
            <w:r w:rsidRPr="001F577F">
              <w:rPr>
                <w:rFonts w:cstheme="minorHAnsi"/>
                <w:b/>
              </w:rPr>
              <w:t>trabajo</w:t>
            </w:r>
          </w:p>
        </w:tc>
        <w:tc>
          <w:tcPr>
            <w:tcW w:w="6552" w:type="dxa"/>
            <w:vAlign w:val="center"/>
          </w:tcPr>
          <w:p w:rsidR="00670E5E" w:rsidRPr="00355EDE" w:rsidRDefault="00670E5E" w:rsidP="00351D5E">
            <w:pPr>
              <w:jc w:val="both"/>
              <w:rPr>
                <w:rFonts w:cstheme="minorHAnsi"/>
                <w:color w:val="0000FF"/>
              </w:rPr>
            </w:pPr>
            <w:r w:rsidRPr="00710CC2">
              <w:rPr>
                <w:rFonts w:cstheme="minorHAnsi"/>
                <w:noProof/>
                <w:color w:val="0000FF"/>
              </w:rPr>
              <w:t>Avenida Canoa No. 79, Colonia Tizapán San Ángel, C.P. 01090, Delegación Álvaro Obregón, Ciudad de México</w:t>
            </w:r>
          </w:p>
        </w:tc>
      </w:tr>
      <w:tr w:rsidR="00670E5E" w:rsidRPr="001F577F" w:rsidTr="009A1AA5">
        <w:trPr>
          <w:trHeight w:val="454"/>
        </w:trPr>
        <w:tc>
          <w:tcPr>
            <w:tcW w:w="3276" w:type="dxa"/>
            <w:vAlign w:val="center"/>
          </w:tcPr>
          <w:p w:rsidR="00670E5E" w:rsidRPr="001F577F" w:rsidRDefault="00670E5E" w:rsidP="00B1122D">
            <w:pPr>
              <w:jc w:val="both"/>
              <w:rPr>
                <w:rFonts w:cstheme="minorHAnsi"/>
                <w:b/>
              </w:rPr>
            </w:pPr>
            <w:r w:rsidRPr="00717853">
              <w:rPr>
                <w:rFonts w:cstheme="minorHAnsi"/>
                <w:b/>
                <w:w w:val="95"/>
              </w:rPr>
              <w:t>Plazo de ejecución de los trabajos</w:t>
            </w:r>
          </w:p>
        </w:tc>
        <w:tc>
          <w:tcPr>
            <w:tcW w:w="6552" w:type="dxa"/>
            <w:vAlign w:val="center"/>
          </w:tcPr>
          <w:p w:rsidR="00670E5E" w:rsidRPr="00DA4F69" w:rsidRDefault="00670E5E" w:rsidP="00F5777F">
            <w:pPr>
              <w:rPr>
                <w:rFonts w:cstheme="minorHAnsi"/>
              </w:rPr>
            </w:pPr>
            <w:r w:rsidRPr="00710CC2">
              <w:rPr>
                <w:rFonts w:cstheme="minorHAnsi"/>
                <w:noProof/>
                <w:color w:val="0000FF"/>
              </w:rPr>
              <w:t>244</w:t>
            </w:r>
            <w:r>
              <w:rPr>
                <w:rFonts w:cstheme="minorHAnsi"/>
                <w:noProof/>
                <w:color w:val="0000FF"/>
              </w:rPr>
              <w:t xml:space="preserve"> </w:t>
            </w:r>
            <w:r>
              <w:rPr>
                <w:rFonts w:cstheme="minorHAnsi"/>
              </w:rPr>
              <w:t>días naturales</w:t>
            </w:r>
            <w:r w:rsidRPr="00DA4F69">
              <w:rPr>
                <w:rFonts w:cstheme="minorHAnsi"/>
              </w:rPr>
              <w:t>.</w:t>
            </w:r>
          </w:p>
        </w:tc>
      </w:tr>
      <w:tr w:rsidR="00670E5E" w:rsidRPr="001F577F" w:rsidTr="002E3F0F">
        <w:trPr>
          <w:cantSplit/>
          <w:trHeight w:val="317"/>
        </w:trPr>
        <w:tc>
          <w:tcPr>
            <w:tcW w:w="3276" w:type="dxa"/>
            <w:vAlign w:val="center"/>
          </w:tcPr>
          <w:p w:rsidR="00670E5E" w:rsidRPr="001F577F" w:rsidRDefault="00670E5E" w:rsidP="003420B5">
            <w:pPr>
              <w:jc w:val="both"/>
              <w:rPr>
                <w:rFonts w:cstheme="minorHAnsi"/>
                <w:b/>
              </w:rPr>
            </w:pPr>
            <w:r>
              <w:rPr>
                <w:rFonts w:cstheme="minorHAnsi"/>
                <w:b/>
              </w:rPr>
              <w:t>Anticipo</w:t>
            </w:r>
          </w:p>
        </w:tc>
        <w:tc>
          <w:tcPr>
            <w:tcW w:w="6552" w:type="dxa"/>
            <w:vAlign w:val="center"/>
          </w:tcPr>
          <w:p w:rsidR="00670E5E" w:rsidRPr="001D4D7F" w:rsidRDefault="00670E5E" w:rsidP="00A46E67">
            <w:pPr>
              <w:jc w:val="both"/>
              <w:rPr>
                <w:rFonts w:cstheme="minorHAnsi"/>
                <w:color w:val="0000FF"/>
              </w:rPr>
            </w:pPr>
            <w:r>
              <w:rPr>
                <w:rFonts w:cstheme="minorHAnsi"/>
                <w:color w:val="0000FF"/>
              </w:rPr>
              <w:t>NO APLICA</w:t>
            </w:r>
          </w:p>
        </w:tc>
      </w:tr>
      <w:tr w:rsidR="00670E5E" w:rsidRPr="001F577F" w:rsidTr="002E3F0F">
        <w:trPr>
          <w:cantSplit/>
          <w:trHeight w:val="317"/>
        </w:trPr>
        <w:tc>
          <w:tcPr>
            <w:tcW w:w="3276" w:type="dxa"/>
            <w:vAlign w:val="center"/>
          </w:tcPr>
          <w:p w:rsidR="00670E5E" w:rsidRPr="001F577F" w:rsidRDefault="00670E5E" w:rsidP="002B5463">
            <w:pPr>
              <w:jc w:val="both"/>
              <w:rPr>
                <w:rFonts w:cstheme="minorHAnsi"/>
                <w:b/>
              </w:rPr>
            </w:pPr>
            <w:r w:rsidRPr="001F577F">
              <w:rPr>
                <w:rFonts w:cstheme="minorHAnsi"/>
                <w:b/>
              </w:rPr>
              <w:t>Presupuesto Base</w:t>
            </w:r>
          </w:p>
        </w:tc>
        <w:tc>
          <w:tcPr>
            <w:tcW w:w="6552" w:type="dxa"/>
            <w:vAlign w:val="center"/>
          </w:tcPr>
          <w:p w:rsidR="00670E5E" w:rsidRPr="003050E3" w:rsidRDefault="00670E5E" w:rsidP="00F22266">
            <w:pPr>
              <w:jc w:val="both"/>
              <w:rPr>
                <w:rFonts w:cstheme="minorHAnsi"/>
                <w:i/>
                <w:color w:val="365F91" w:themeColor="accent1" w:themeShade="BF"/>
                <w:sz w:val="20"/>
                <w:szCs w:val="20"/>
              </w:rPr>
            </w:pPr>
            <w:r w:rsidRPr="00710CC2">
              <w:rPr>
                <w:rFonts w:cstheme="minorHAnsi"/>
                <w:noProof/>
                <w:color w:val="0000FF"/>
              </w:rPr>
              <w:t>$3'693,448.80</w:t>
            </w:r>
            <w:r w:rsidRPr="00D41890">
              <w:rPr>
                <w:rFonts w:cstheme="minorHAnsi"/>
                <w:noProof/>
                <w:color w:val="0000FF"/>
              </w:rPr>
              <w:t xml:space="preserve"> </w:t>
            </w:r>
            <w:r w:rsidRPr="00710CC2">
              <w:rPr>
                <w:rFonts w:cstheme="minorHAnsi"/>
                <w:noProof/>
                <w:color w:val="0000FF"/>
              </w:rPr>
              <w:t>(Tres millones seiscientos noventa y tres mil cuatrocientos cuarenta y ocho pesos 80/100 M.N.)</w:t>
            </w:r>
            <w:r>
              <w:rPr>
                <w:rFonts w:cstheme="minorHAnsi"/>
                <w:noProof/>
                <w:color w:val="0000FF"/>
              </w:rPr>
              <w:t xml:space="preserve"> </w:t>
            </w:r>
            <w:r w:rsidRPr="003050E3">
              <w:rPr>
                <w:rFonts w:cstheme="minorHAnsi"/>
              </w:rPr>
              <w:t>I.V.A. incluido</w:t>
            </w:r>
            <w:r w:rsidRPr="003050E3">
              <w:rPr>
                <w:rFonts w:cstheme="minorHAnsi"/>
                <w:b/>
              </w:rPr>
              <w:t>,</w:t>
            </w:r>
            <w:r w:rsidRPr="003050E3">
              <w:rPr>
                <w:rFonts w:cstheme="minorHAnsi"/>
              </w:rPr>
              <w:t xml:space="preserve"> </w:t>
            </w:r>
            <w:r w:rsidRPr="006B7617">
              <w:rPr>
                <w:rFonts w:cstheme="minorHAnsi"/>
              </w:rPr>
              <w:t xml:space="preserve">este </w:t>
            </w:r>
            <w:r w:rsidRPr="000F4716">
              <w:rPr>
                <w:rFonts w:cstheme="minorHAnsi"/>
              </w:rPr>
              <w:t>importe se determinó como resultado del estudio de mercado efectuado en términos de lo dispuesto por los artículos 289, 292 y 293 del Acuerdo General del Pleno del Consejo de la Judicatura Federal, que establece las disposiciones en materia de actividad administrativa del propio Consejo, cuyo respaldo físico se encuentra en el Acervo de la Dirección General de Inmuebles y Mantenimiento.</w:t>
            </w:r>
          </w:p>
        </w:tc>
      </w:tr>
    </w:tbl>
    <w:p w:rsidR="00670E5E" w:rsidRPr="0093012D" w:rsidRDefault="00670E5E" w:rsidP="00D33017">
      <w:pPr>
        <w:spacing w:after="0"/>
        <w:rPr>
          <w:rFonts w:cstheme="minorHAnsi"/>
          <w:b/>
          <w:sz w:val="12"/>
        </w:rPr>
      </w:pPr>
    </w:p>
    <w:p w:rsidR="00670E5E" w:rsidRPr="0093012D" w:rsidRDefault="00670E5E">
      <w:pPr>
        <w:rPr>
          <w:rFonts w:cstheme="minorHAnsi"/>
          <w:b/>
          <w:sz w:val="12"/>
        </w:rPr>
      </w:pPr>
      <w:r w:rsidRPr="0093012D">
        <w:rPr>
          <w:rFonts w:cstheme="minorHAnsi"/>
          <w:b/>
          <w:sz w:val="12"/>
        </w:rPr>
        <w:br w:type="page"/>
      </w:r>
    </w:p>
    <w:p w:rsidR="00670E5E" w:rsidRDefault="00670E5E" w:rsidP="00D33017">
      <w:pPr>
        <w:spacing w:after="0"/>
        <w:rPr>
          <w:rFonts w:cstheme="minorHAnsi"/>
          <w:b/>
        </w:rPr>
      </w:pPr>
    </w:p>
    <w:p w:rsidR="00670E5E" w:rsidRDefault="00670E5E" w:rsidP="00D33017">
      <w:pPr>
        <w:spacing w:after="0"/>
        <w:rPr>
          <w:rFonts w:cstheme="minorHAnsi"/>
          <w:b/>
          <w:u w:val="single"/>
        </w:rPr>
      </w:pPr>
      <w:r w:rsidRPr="00F90A0F">
        <w:rPr>
          <w:rFonts w:cstheme="minorHAnsi"/>
          <w:b/>
        </w:rPr>
        <w:t>INFORMACIÓN PROGRAMÁTICA</w:t>
      </w:r>
      <w:r w:rsidRPr="00F90A0F">
        <w:rPr>
          <w:rFonts w:cstheme="minorHAnsi"/>
          <w:b/>
          <w:u w:val="single"/>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38"/>
        <w:gridCol w:w="1638"/>
        <w:gridCol w:w="1935"/>
        <w:gridCol w:w="4617"/>
      </w:tblGrid>
      <w:tr w:rsidR="00670E5E" w:rsidRPr="001F577F" w:rsidTr="001474AC">
        <w:trPr>
          <w:trHeight w:val="485"/>
        </w:trPr>
        <w:tc>
          <w:tcPr>
            <w:tcW w:w="3276" w:type="dxa"/>
            <w:gridSpan w:val="2"/>
            <w:vAlign w:val="center"/>
          </w:tcPr>
          <w:p w:rsidR="00670E5E" w:rsidRPr="006E4CF9" w:rsidRDefault="00670E5E" w:rsidP="001930AB">
            <w:pPr>
              <w:jc w:val="center"/>
              <w:rPr>
                <w:rFonts w:cstheme="minorHAnsi"/>
                <w:b/>
                <w:w w:val="90"/>
              </w:rPr>
            </w:pPr>
            <w:r w:rsidRPr="00A22F45">
              <w:rPr>
                <w:rFonts w:cstheme="minorHAnsi"/>
                <w:b/>
                <w:w w:val="90"/>
              </w:rPr>
              <w:t xml:space="preserve">Inclusión en el </w:t>
            </w:r>
            <w:r w:rsidRPr="00896987">
              <w:rPr>
                <w:rFonts w:cstheme="minorHAnsi"/>
                <w:b/>
                <w:w w:val="90"/>
              </w:rPr>
              <w:t>PAE</w:t>
            </w:r>
            <w:r>
              <w:rPr>
                <w:rFonts w:cstheme="minorHAnsi"/>
                <w:b/>
                <w:w w:val="90"/>
              </w:rPr>
              <w:t>O</w:t>
            </w:r>
            <w:r w:rsidRPr="00896987">
              <w:rPr>
                <w:rFonts w:cstheme="minorHAnsi"/>
                <w:b/>
                <w:w w:val="90"/>
              </w:rPr>
              <w:t xml:space="preserve"> </w:t>
            </w:r>
            <w:r>
              <w:rPr>
                <w:rFonts w:cstheme="minorHAnsi"/>
                <w:b/>
                <w:w w:val="90"/>
              </w:rPr>
              <w:t>2016</w:t>
            </w:r>
          </w:p>
        </w:tc>
        <w:tc>
          <w:tcPr>
            <w:tcW w:w="1935" w:type="dxa"/>
            <w:vAlign w:val="center"/>
          </w:tcPr>
          <w:p w:rsidR="00670E5E" w:rsidRPr="006E4CF9" w:rsidRDefault="00670E5E" w:rsidP="00A22F45">
            <w:pPr>
              <w:jc w:val="center"/>
              <w:rPr>
                <w:rFonts w:cstheme="minorHAnsi"/>
                <w:b/>
                <w:w w:val="90"/>
              </w:rPr>
            </w:pPr>
            <w:r w:rsidRPr="006E4CF9">
              <w:rPr>
                <w:rFonts w:cstheme="minorHAnsi"/>
                <w:b/>
                <w:w w:val="90"/>
              </w:rPr>
              <w:t>Monto Programado</w:t>
            </w:r>
          </w:p>
        </w:tc>
        <w:tc>
          <w:tcPr>
            <w:tcW w:w="4617" w:type="dxa"/>
            <w:vAlign w:val="center"/>
          </w:tcPr>
          <w:p w:rsidR="00670E5E" w:rsidRPr="006E4CF9" w:rsidRDefault="00670E5E" w:rsidP="003420B5">
            <w:pPr>
              <w:jc w:val="center"/>
              <w:rPr>
                <w:rFonts w:cstheme="minorHAnsi"/>
                <w:b/>
                <w:w w:val="90"/>
              </w:rPr>
            </w:pPr>
            <w:r w:rsidRPr="006E4CF9">
              <w:rPr>
                <w:rFonts w:cstheme="minorHAnsi"/>
                <w:b/>
                <w:w w:val="90"/>
              </w:rPr>
              <w:t>Procedimiento</w:t>
            </w:r>
          </w:p>
        </w:tc>
      </w:tr>
      <w:tr w:rsidR="00670E5E" w:rsidRPr="001F577F" w:rsidTr="00896987">
        <w:trPr>
          <w:trHeight w:val="311"/>
        </w:trPr>
        <w:tc>
          <w:tcPr>
            <w:tcW w:w="1638" w:type="dxa"/>
            <w:shd w:val="clear" w:color="auto" w:fill="D9D9D9" w:themeFill="background1" w:themeFillShade="D9"/>
            <w:vAlign w:val="center"/>
          </w:tcPr>
          <w:p w:rsidR="00670E5E" w:rsidRPr="001474AC" w:rsidRDefault="00670E5E" w:rsidP="003420B5">
            <w:pPr>
              <w:jc w:val="center"/>
              <w:rPr>
                <w:rFonts w:cstheme="minorHAnsi"/>
                <w:sz w:val="20"/>
              </w:rPr>
            </w:pPr>
            <w:r w:rsidRPr="001474AC">
              <w:rPr>
                <w:rFonts w:cstheme="minorHAnsi"/>
                <w:sz w:val="20"/>
              </w:rPr>
              <w:t>Si</w:t>
            </w:r>
          </w:p>
        </w:tc>
        <w:tc>
          <w:tcPr>
            <w:tcW w:w="1638" w:type="dxa"/>
            <w:vAlign w:val="center"/>
          </w:tcPr>
          <w:p w:rsidR="00670E5E" w:rsidRPr="001474AC" w:rsidRDefault="00670E5E" w:rsidP="003420B5">
            <w:pPr>
              <w:jc w:val="center"/>
              <w:rPr>
                <w:rFonts w:cstheme="minorHAnsi"/>
                <w:b/>
                <w:sz w:val="20"/>
              </w:rPr>
            </w:pPr>
            <w:r w:rsidRPr="001474AC">
              <w:rPr>
                <w:rFonts w:cstheme="minorHAnsi"/>
                <w:b/>
                <w:sz w:val="20"/>
              </w:rPr>
              <w:t>No</w:t>
            </w:r>
          </w:p>
        </w:tc>
        <w:tc>
          <w:tcPr>
            <w:tcW w:w="1935" w:type="dxa"/>
            <w:vAlign w:val="center"/>
          </w:tcPr>
          <w:p w:rsidR="00670E5E" w:rsidRPr="001474AC" w:rsidRDefault="00670E5E" w:rsidP="00B96E22">
            <w:pPr>
              <w:jc w:val="center"/>
              <w:rPr>
                <w:rFonts w:cstheme="minorHAnsi"/>
                <w:sz w:val="20"/>
              </w:rPr>
            </w:pPr>
            <w:r>
              <w:rPr>
                <w:rFonts w:cstheme="minorHAnsi"/>
                <w:sz w:val="20"/>
              </w:rPr>
              <w:t xml:space="preserve">$20’000,000.00 </w:t>
            </w:r>
          </w:p>
        </w:tc>
        <w:tc>
          <w:tcPr>
            <w:tcW w:w="4617" w:type="dxa"/>
            <w:vAlign w:val="center"/>
          </w:tcPr>
          <w:p w:rsidR="00670E5E" w:rsidRPr="001474AC" w:rsidRDefault="00670E5E" w:rsidP="00382769">
            <w:pPr>
              <w:jc w:val="center"/>
              <w:rPr>
                <w:rFonts w:cstheme="minorHAnsi"/>
                <w:color w:val="0000FF"/>
                <w:sz w:val="20"/>
              </w:rPr>
            </w:pPr>
            <w:r w:rsidRPr="00687F3C">
              <w:rPr>
                <w:rFonts w:cstheme="minorHAnsi"/>
                <w:noProof/>
                <w:color w:val="0000FF"/>
                <w:sz w:val="20"/>
              </w:rPr>
              <w:t>INVITACIÓN A CUANDO MENOS TRES CONTRATISTAS</w:t>
            </w:r>
          </w:p>
        </w:tc>
      </w:tr>
      <w:tr w:rsidR="00670E5E" w:rsidRPr="00182E19" w:rsidTr="00071FB8">
        <w:trPr>
          <w:trHeight w:val="1243"/>
        </w:trPr>
        <w:tc>
          <w:tcPr>
            <w:tcW w:w="9828" w:type="dxa"/>
            <w:gridSpan w:val="4"/>
            <w:vAlign w:val="center"/>
          </w:tcPr>
          <w:p w:rsidR="00670E5E" w:rsidRDefault="00670E5E" w:rsidP="001930AB">
            <w:pPr>
              <w:jc w:val="both"/>
              <w:rPr>
                <w:rFonts w:cstheme="minorHAnsi"/>
              </w:rPr>
            </w:pPr>
            <w:r w:rsidRPr="00182E19">
              <w:rPr>
                <w:rFonts w:cstheme="minorHAnsi"/>
              </w:rPr>
              <w:t>Mediante</w:t>
            </w:r>
            <w:r>
              <w:rPr>
                <w:rFonts w:cstheme="minorHAnsi"/>
              </w:rPr>
              <w:t xml:space="preserve"> el</w:t>
            </w:r>
            <w:r w:rsidRPr="00182E19">
              <w:rPr>
                <w:rFonts w:cstheme="minorHAnsi"/>
              </w:rPr>
              <w:t xml:space="preserve"> </w:t>
            </w:r>
            <w:r w:rsidRPr="00316AEF">
              <w:rPr>
                <w:rFonts w:cstheme="minorHAnsi"/>
                <w:noProof/>
              </w:rPr>
              <w:t>SEPLE./ADM./002/828/2016 del 27 de enero de 2016</w:t>
            </w:r>
            <w:r w:rsidRPr="00316AEF">
              <w:rPr>
                <w:rFonts w:cstheme="minorHAnsi"/>
              </w:rPr>
              <w:t xml:space="preserve">, el Pleno del </w:t>
            </w:r>
            <w:r w:rsidRPr="00C95919">
              <w:rPr>
                <w:rFonts w:cstheme="minorHAnsi"/>
              </w:rPr>
              <w:t>Consejo</w:t>
            </w:r>
            <w:r>
              <w:rPr>
                <w:rFonts w:cstheme="minorHAnsi"/>
              </w:rPr>
              <w:t xml:space="preserve"> de la Judicatura Federal</w:t>
            </w:r>
            <w:r w:rsidRPr="00C95919">
              <w:rPr>
                <w:rFonts w:cstheme="minorHAnsi"/>
              </w:rPr>
              <w:t xml:space="preserve"> </w:t>
            </w:r>
            <w:r>
              <w:rPr>
                <w:rFonts w:cstheme="minorHAnsi"/>
              </w:rPr>
              <w:t xml:space="preserve">aprobó el Programa Anual de Ejecución de Obra Pública 2016 de la Dirección General de Inmuebles y Mantenimiento, considerando un importe de $10’500,000.00 para la Póliza de mantenimiento preventivo y correctivo al sistema de aire acondicionado y $9’500,000.00 para la Póliza de mantenimiento preventivo y correctivo al sistema de energía ininterrumpida, UP’S, tableros,  etc. </w:t>
            </w:r>
          </w:p>
          <w:p w:rsidR="00670E5E" w:rsidRPr="00243D48" w:rsidRDefault="00670E5E" w:rsidP="00710503">
            <w:pPr>
              <w:jc w:val="both"/>
              <w:rPr>
                <w:rFonts w:cstheme="minorHAnsi"/>
                <w:sz w:val="14"/>
              </w:rPr>
            </w:pPr>
          </w:p>
          <w:p w:rsidR="00670E5E" w:rsidRDefault="00670E5E" w:rsidP="00710503">
            <w:pPr>
              <w:jc w:val="both"/>
              <w:rPr>
                <w:rFonts w:cstheme="minorHAnsi"/>
              </w:rPr>
            </w:pPr>
            <w:r w:rsidRPr="00746C38">
              <w:rPr>
                <w:rFonts w:cstheme="minorHAnsi"/>
              </w:rPr>
              <w:t xml:space="preserve">Atendiendo lo que señala la fracción XII del artículo 280 del Acuerdo General del Pleno del Consejo de la Judicatura Federal, que establece las disposiciones en materia de actividad administrativa del propio Consejo, en el Programa </w:t>
            </w:r>
            <w:r>
              <w:rPr>
                <w:rFonts w:cstheme="minorHAnsi"/>
              </w:rPr>
              <w:t xml:space="preserve">Anual </w:t>
            </w:r>
            <w:r w:rsidRPr="00746C38">
              <w:rPr>
                <w:rFonts w:cstheme="minorHAnsi"/>
              </w:rPr>
              <w:t>de Ejecución de Obra Pública 201</w:t>
            </w:r>
            <w:r>
              <w:rPr>
                <w:rFonts w:cstheme="minorHAnsi"/>
              </w:rPr>
              <w:t>6</w:t>
            </w:r>
            <w:r w:rsidRPr="00746C38">
              <w:rPr>
                <w:rFonts w:cstheme="minorHAnsi"/>
              </w:rPr>
              <w:t>, se incluyó el costo estimado de dicha</w:t>
            </w:r>
            <w:r>
              <w:rPr>
                <w:rFonts w:cstheme="minorHAnsi"/>
              </w:rPr>
              <w:t>s pólizas</w:t>
            </w:r>
            <w:r w:rsidRPr="00746C38">
              <w:rPr>
                <w:rFonts w:cstheme="minorHAnsi"/>
              </w:rPr>
              <w:t>.</w:t>
            </w:r>
          </w:p>
          <w:p w:rsidR="00670E5E" w:rsidRDefault="00670E5E" w:rsidP="00710503">
            <w:pPr>
              <w:jc w:val="both"/>
              <w:rPr>
                <w:rFonts w:cstheme="minorHAnsi"/>
              </w:rPr>
            </w:pPr>
          </w:p>
          <w:p w:rsidR="00670E5E" w:rsidRPr="00746C38" w:rsidRDefault="00670E5E" w:rsidP="00710503">
            <w:pPr>
              <w:jc w:val="both"/>
              <w:rPr>
                <w:rFonts w:cstheme="minorHAnsi"/>
              </w:rPr>
            </w:pPr>
            <w:r>
              <w:rPr>
                <w:rFonts w:cstheme="minorHAnsi"/>
              </w:rPr>
              <w:t>Es de señalar que la inclusión de estas pólizas en el Programa Anual de Ejecución de Obra Pública se derivó de la Atenta Nota del 06 de enero de 2016, suscrita por la Directora General de Recursos Materiales, relativa al procedimiento de Adjudicación Directa para la contratación del “Servicio único en diciembre al sistema de aire acondicionado” y al “Servicio único en diciembre al sistema de energía ininterrumpida (</w:t>
            </w:r>
            <w:proofErr w:type="spellStart"/>
            <w:r>
              <w:rPr>
                <w:rFonts w:cstheme="minorHAnsi"/>
              </w:rPr>
              <w:t>UPS’s</w:t>
            </w:r>
            <w:proofErr w:type="spellEnd"/>
            <w:r>
              <w:rPr>
                <w:rFonts w:cstheme="minorHAnsi"/>
              </w:rPr>
              <w:t xml:space="preserve">), gabinete de </w:t>
            </w:r>
            <w:proofErr w:type="spellStart"/>
            <w:r>
              <w:rPr>
                <w:rFonts w:cstheme="minorHAnsi"/>
              </w:rPr>
              <w:t>switch</w:t>
            </w:r>
            <w:proofErr w:type="spellEnd"/>
            <w:r>
              <w:rPr>
                <w:rFonts w:cstheme="minorHAnsi"/>
              </w:rPr>
              <w:t xml:space="preserve"> estático, bypass de mantenimiento, tableros de unidades de distribución de PMM (PDU), supresores de transitorios, transformadores, sistema de </w:t>
            </w:r>
            <w:proofErr w:type="spellStart"/>
            <w:r>
              <w:rPr>
                <w:rFonts w:cstheme="minorHAnsi"/>
              </w:rPr>
              <w:t>electroductos</w:t>
            </w:r>
            <w:proofErr w:type="spellEnd"/>
            <w:r>
              <w:rPr>
                <w:rFonts w:cstheme="minorHAnsi"/>
              </w:rPr>
              <w:t xml:space="preserve">, sistemas de transitorios, transformadores, sistemas de transferencia automática, interruptores </w:t>
            </w:r>
            <w:proofErr w:type="spellStart"/>
            <w:r>
              <w:rPr>
                <w:rFonts w:cstheme="minorHAnsi"/>
              </w:rPr>
              <w:t>termomagnéticos</w:t>
            </w:r>
            <w:proofErr w:type="spellEnd"/>
            <w:r>
              <w:rPr>
                <w:rFonts w:cstheme="minorHAnsi"/>
              </w:rPr>
              <w:t xml:space="preserve"> y tableros de distribución” para el Centro de Cómputo Principal (CCP) del Consejo de la Judicatura Federal localizado en el Edificio Sede del Poder Judicial de la Federación con domicilio en Avenida Canoa No. 79, Col. </w:t>
            </w:r>
            <w:proofErr w:type="spellStart"/>
            <w:r>
              <w:rPr>
                <w:rFonts w:cstheme="minorHAnsi"/>
              </w:rPr>
              <w:t>Tizapán</w:t>
            </w:r>
            <w:proofErr w:type="spellEnd"/>
            <w:r>
              <w:rPr>
                <w:rFonts w:cstheme="minorHAnsi"/>
              </w:rPr>
              <w:t xml:space="preserve"> San Ángel, Del. Álvaro Obregón, C.P. 01090, Ciudad de México, donde informó que no fue posible adjudicar el servicio.</w:t>
            </w:r>
          </w:p>
          <w:p w:rsidR="00670E5E" w:rsidRPr="00182E19" w:rsidRDefault="00670E5E" w:rsidP="001930AB">
            <w:pPr>
              <w:jc w:val="right"/>
              <w:rPr>
                <w:rFonts w:cstheme="minorHAnsi"/>
              </w:rPr>
            </w:pPr>
            <w:r>
              <w:rPr>
                <w:rFonts w:cstheme="minorHAnsi"/>
              </w:rPr>
              <w:t xml:space="preserve"> </w:t>
            </w:r>
            <w:r w:rsidRPr="00182E19">
              <w:rPr>
                <w:rFonts w:cstheme="minorHAnsi"/>
                <w:b/>
              </w:rPr>
              <w:t>(Anexo 1)</w:t>
            </w:r>
          </w:p>
        </w:tc>
      </w:tr>
    </w:tbl>
    <w:p w:rsidR="00670E5E" w:rsidRDefault="00670E5E" w:rsidP="00071FB8">
      <w:pPr>
        <w:spacing w:after="0" w:line="240" w:lineRule="auto"/>
        <w:rPr>
          <w:rFonts w:cstheme="minorHAnsi"/>
          <w:b/>
          <w:sz w:val="24"/>
        </w:rPr>
      </w:pPr>
    </w:p>
    <w:p w:rsidR="00670E5E" w:rsidRPr="001930AB" w:rsidRDefault="00670E5E" w:rsidP="00071FB8">
      <w:pPr>
        <w:spacing w:after="0" w:line="240" w:lineRule="auto"/>
        <w:rPr>
          <w:rFonts w:cstheme="minorHAnsi"/>
          <w:b/>
          <w:sz w:val="24"/>
        </w:rPr>
      </w:pPr>
    </w:p>
    <w:p w:rsidR="00670E5E" w:rsidRPr="001F577F" w:rsidRDefault="00670E5E" w:rsidP="003470F7">
      <w:pPr>
        <w:spacing w:after="0"/>
        <w:rPr>
          <w:rFonts w:cstheme="minorHAnsi"/>
          <w:b/>
        </w:rPr>
      </w:pPr>
      <w:r w:rsidRPr="001F577F">
        <w:rPr>
          <w:rFonts w:cstheme="minorHAnsi"/>
          <w:b/>
        </w:rPr>
        <w:t>SUFICIENCIA PRESUPUESTAL</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7"/>
        <w:gridCol w:w="2457"/>
        <w:gridCol w:w="2457"/>
        <w:gridCol w:w="2457"/>
      </w:tblGrid>
      <w:tr w:rsidR="00670E5E" w:rsidRPr="001F577F" w:rsidTr="008B645A">
        <w:trPr>
          <w:trHeight w:val="393"/>
        </w:trPr>
        <w:tc>
          <w:tcPr>
            <w:tcW w:w="2457" w:type="dxa"/>
            <w:vAlign w:val="center"/>
          </w:tcPr>
          <w:p w:rsidR="00670E5E" w:rsidRPr="001F577F" w:rsidRDefault="00670E5E" w:rsidP="00B1122D">
            <w:pPr>
              <w:jc w:val="center"/>
              <w:rPr>
                <w:rFonts w:cstheme="minorHAnsi"/>
                <w:b/>
              </w:rPr>
            </w:pPr>
            <w:r w:rsidRPr="001F577F">
              <w:rPr>
                <w:rFonts w:cstheme="minorHAnsi"/>
                <w:b/>
              </w:rPr>
              <w:t>No. de Certificado</w:t>
            </w:r>
          </w:p>
        </w:tc>
        <w:tc>
          <w:tcPr>
            <w:tcW w:w="2457" w:type="dxa"/>
            <w:vAlign w:val="center"/>
          </w:tcPr>
          <w:p w:rsidR="00670E5E" w:rsidRPr="001F577F" w:rsidRDefault="00670E5E" w:rsidP="00B1122D">
            <w:pPr>
              <w:jc w:val="center"/>
              <w:rPr>
                <w:rFonts w:cstheme="minorHAnsi"/>
                <w:b/>
              </w:rPr>
            </w:pPr>
            <w:r w:rsidRPr="001F577F">
              <w:rPr>
                <w:rFonts w:cstheme="minorHAnsi"/>
                <w:b/>
              </w:rPr>
              <w:t>Monto del Certificado</w:t>
            </w:r>
          </w:p>
        </w:tc>
        <w:tc>
          <w:tcPr>
            <w:tcW w:w="2457" w:type="dxa"/>
            <w:vAlign w:val="center"/>
          </w:tcPr>
          <w:p w:rsidR="00670E5E" w:rsidRPr="001F577F" w:rsidRDefault="00670E5E" w:rsidP="00B1122D">
            <w:pPr>
              <w:jc w:val="center"/>
              <w:rPr>
                <w:rFonts w:cstheme="minorHAnsi"/>
                <w:b/>
              </w:rPr>
            </w:pPr>
            <w:r w:rsidRPr="001F577F">
              <w:rPr>
                <w:rFonts w:cstheme="minorHAnsi"/>
                <w:b/>
              </w:rPr>
              <w:t>Partida Presupuestal</w:t>
            </w:r>
          </w:p>
        </w:tc>
        <w:tc>
          <w:tcPr>
            <w:tcW w:w="2457" w:type="dxa"/>
            <w:vMerge w:val="restart"/>
            <w:vAlign w:val="center"/>
          </w:tcPr>
          <w:p w:rsidR="00670E5E" w:rsidRPr="001F577F" w:rsidRDefault="00670E5E" w:rsidP="009A1AA5">
            <w:pPr>
              <w:jc w:val="center"/>
              <w:rPr>
                <w:rFonts w:cstheme="minorHAnsi"/>
                <w:b/>
              </w:rPr>
            </w:pPr>
            <w:r w:rsidRPr="001F577F">
              <w:rPr>
                <w:rFonts w:cstheme="minorHAnsi"/>
                <w:b/>
              </w:rPr>
              <w:t xml:space="preserve">(Anexo </w:t>
            </w:r>
            <w:r>
              <w:rPr>
                <w:rFonts w:cstheme="minorHAnsi"/>
                <w:b/>
              </w:rPr>
              <w:t>2</w:t>
            </w:r>
            <w:r w:rsidRPr="001F577F">
              <w:rPr>
                <w:rFonts w:cstheme="minorHAnsi"/>
                <w:b/>
              </w:rPr>
              <w:t>)</w:t>
            </w:r>
          </w:p>
        </w:tc>
      </w:tr>
      <w:tr w:rsidR="00670E5E" w:rsidRPr="001F577F" w:rsidTr="00071FB8">
        <w:trPr>
          <w:trHeight w:val="425"/>
        </w:trPr>
        <w:tc>
          <w:tcPr>
            <w:tcW w:w="2457" w:type="dxa"/>
            <w:vAlign w:val="center"/>
          </w:tcPr>
          <w:p w:rsidR="00670E5E" w:rsidRPr="001F577F" w:rsidRDefault="00670E5E" w:rsidP="00B1122D">
            <w:pPr>
              <w:jc w:val="center"/>
              <w:rPr>
                <w:rFonts w:cstheme="minorHAnsi"/>
                <w:b/>
              </w:rPr>
            </w:pPr>
            <w:r w:rsidRPr="00710CC2">
              <w:rPr>
                <w:rFonts w:cstheme="minorHAnsi"/>
                <w:b/>
                <w:noProof/>
              </w:rPr>
              <w:t>3600016550</w:t>
            </w:r>
          </w:p>
        </w:tc>
        <w:tc>
          <w:tcPr>
            <w:tcW w:w="2457" w:type="dxa"/>
            <w:vAlign w:val="center"/>
          </w:tcPr>
          <w:p w:rsidR="00670E5E" w:rsidRPr="00C62E12" w:rsidRDefault="00670E5E" w:rsidP="00C62E12">
            <w:pPr>
              <w:jc w:val="center"/>
              <w:rPr>
                <w:rFonts w:cstheme="minorHAnsi"/>
                <w:b/>
                <w:color w:val="0000FF"/>
                <w:sz w:val="23"/>
                <w:szCs w:val="23"/>
              </w:rPr>
            </w:pPr>
            <w:r w:rsidRPr="00710CC2">
              <w:rPr>
                <w:rFonts w:cstheme="minorHAnsi"/>
                <w:b/>
                <w:noProof/>
                <w:color w:val="0000FF"/>
              </w:rPr>
              <w:t>$3'693,130.48</w:t>
            </w:r>
          </w:p>
        </w:tc>
        <w:tc>
          <w:tcPr>
            <w:tcW w:w="2457" w:type="dxa"/>
            <w:vAlign w:val="center"/>
          </w:tcPr>
          <w:p w:rsidR="00670E5E" w:rsidRPr="00C62E12" w:rsidRDefault="00670E5E" w:rsidP="00B1122D">
            <w:pPr>
              <w:jc w:val="center"/>
              <w:rPr>
                <w:rFonts w:cstheme="minorHAnsi"/>
                <w:b/>
                <w:color w:val="0000FF"/>
              </w:rPr>
            </w:pPr>
            <w:r w:rsidRPr="00710CC2">
              <w:rPr>
                <w:rFonts w:cstheme="minorHAnsi"/>
                <w:b/>
                <w:noProof/>
                <w:color w:val="0000FF"/>
              </w:rPr>
              <w:t>351-01</w:t>
            </w:r>
          </w:p>
        </w:tc>
        <w:tc>
          <w:tcPr>
            <w:tcW w:w="2457" w:type="dxa"/>
            <w:vMerge/>
            <w:vAlign w:val="center"/>
          </w:tcPr>
          <w:p w:rsidR="00670E5E" w:rsidRPr="001F577F" w:rsidRDefault="00670E5E" w:rsidP="009A1AA5">
            <w:pPr>
              <w:jc w:val="center"/>
              <w:rPr>
                <w:rFonts w:cstheme="minorHAnsi"/>
                <w:b/>
              </w:rPr>
            </w:pPr>
          </w:p>
        </w:tc>
      </w:tr>
      <w:tr w:rsidR="00670E5E" w:rsidRPr="001F577F" w:rsidTr="00975E9D">
        <w:trPr>
          <w:trHeight w:val="1547"/>
        </w:trPr>
        <w:tc>
          <w:tcPr>
            <w:tcW w:w="9828" w:type="dxa"/>
            <w:gridSpan w:val="4"/>
            <w:vAlign w:val="center"/>
          </w:tcPr>
          <w:p w:rsidR="00670E5E" w:rsidRPr="001930AB" w:rsidRDefault="00670E5E" w:rsidP="001930AB">
            <w:pPr>
              <w:jc w:val="both"/>
              <w:rPr>
                <w:rFonts w:cstheme="minorHAnsi"/>
              </w:rPr>
            </w:pPr>
            <w:r w:rsidRPr="001930AB">
              <w:rPr>
                <w:rFonts w:cstheme="minorHAnsi"/>
              </w:rPr>
              <w:t>Con el oficio SEA/DGPP/STP/DPP/0018/2016 del 05 de enero de 2016, la Dirección General de Programación y Presupuesto informó que se cuenta con la suficiencia presupuestal por $20’000,000.00 (Veinte millones de pesos 00/100 M.N.), para llevar a cabo las contrataciones en comento</w:t>
            </w:r>
            <w:r>
              <w:rPr>
                <w:rFonts w:cstheme="minorHAnsi"/>
              </w:rPr>
              <w:t>, asimismo solicitó que una vez concluidos los procedimientos de adjudicación, se informe a esa Dirección General para llevar a cabo los movimientos presupuestales correspondientes.</w:t>
            </w:r>
          </w:p>
        </w:tc>
      </w:tr>
    </w:tbl>
    <w:p w:rsidR="00670E5E" w:rsidRDefault="00670E5E" w:rsidP="00673A9A">
      <w:pPr>
        <w:spacing w:after="0" w:line="240" w:lineRule="auto"/>
        <w:rPr>
          <w:rFonts w:cstheme="minorHAnsi"/>
          <w:b/>
          <w:sz w:val="24"/>
        </w:rPr>
      </w:pPr>
    </w:p>
    <w:p w:rsidR="00670E5E" w:rsidRDefault="00670E5E">
      <w:pPr>
        <w:rPr>
          <w:rFonts w:cstheme="minorHAnsi"/>
          <w:b/>
          <w:sz w:val="24"/>
        </w:rPr>
      </w:pPr>
      <w:r>
        <w:rPr>
          <w:rFonts w:cstheme="minorHAnsi"/>
          <w:b/>
          <w:sz w:val="24"/>
        </w:rPr>
        <w:br w:type="page"/>
      </w:r>
    </w:p>
    <w:p w:rsidR="00670E5E" w:rsidRDefault="00670E5E" w:rsidP="003470F7">
      <w:pPr>
        <w:spacing w:after="0" w:line="240" w:lineRule="auto"/>
        <w:rPr>
          <w:rFonts w:cstheme="minorHAnsi"/>
          <w:b/>
        </w:rPr>
      </w:pPr>
    </w:p>
    <w:p w:rsidR="00670E5E" w:rsidRPr="00101A51" w:rsidRDefault="00670E5E" w:rsidP="003470F7">
      <w:pPr>
        <w:spacing w:after="0" w:line="240" w:lineRule="auto"/>
        <w:rPr>
          <w:rFonts w:cstheme="minorHAnsi"/>
          <w:b/>
          <w:u w:val="single"/>
        </w:rPr>
      </w:pPr>
      <w:r w:rsidRPr="00101A51">
        <w:rPr>
          <w:rFonts w:cstheme="minorHAnsi"/>
          <w:b/>
        </w:rPr>
        <w:t xml:space="preserve">DESARROLLO DEL PROCEDIMIENTO </w:t>
      </w:r>
    </w:p>
    <w:p w:rsidR="00670E5E" w:rsidRPr="00D426FC" w:rsidRDefault="00670E5E" w:rsidP="003470F7">
      <w:pPr>
        <w:spacing w:after="0" w:line="240" w:lineRule="auto"/>
        <w:rPr>
          <w:rFonts w:cstheme="minorHAnsi"/>
          <w:b/>
          <w:sz w:val="16"/>
          <w:u w:val="single"/>
        </w:rPr>
      </w:pPr>
    </w:p>
    <w:p w:rsidR="00670E5E" w:rsidRPr="00101A51" w:rsidRDefault="00670E5E" w:rsidP="00B47175">
      <w:pPr>
        <w:pStyle w:val="Prrafodelista"/>
        <w:numPr>
          <w:ilvl w:val="0"/>
          <w:numId w:val="2"/>
        </w:numPr>
        <w:spacing w:after="0" w:line="360" w:lineRule="auto"/>
        <w:rPr>
          <w:rFonts w:cstheme="minorHAnsi"/>
          <w:b/>
        </w:rPr>
      </w:pPr>
      <w:r w:rsidRPr="00101A51">
        <w:rPr>
          <w:rFonts w:cstheme="minorHAnsi"/>
          <w:b/>
        </w:rPr>
        <w:t>Inicio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7244"/>
      </w:tblGrid>
      <w:tr w:rsidR="00670E5E" w:rsidRPr="00101A51" w:rsidTr="00462850">
        <w:trPr>
          <w:trHeight w:val="243"/>
        </w:trPr>
        <w:tc>
          <w:tcPr>
            <w:tcW w:w="2660" w:type="dxa"/>
            <w:vAlign w:val="center"/>
          </w:tcPr>
          <w:p w:rsidR="00670E5E" w:rsidRPr="00101A51" w:rsidRDefault="00670E5E" w:rsidP="00B1122D">
            <w:pPr>
              <w:jc w:val="center"/>
              <w:rPr>
                <w:rFonts w:cstheme="minorHAnsi"/>
                <w:b/>
                <w:snapToGrid w:val="0"/>
                <w:lang w:val="es-ES_tradnl"/>
              </w:rPr>
            </w:pPr>
            <w:r w:rsidRPr="00101A51">
              <w:rPr>
                <w:rFonts w:cstheme="minorHAnsi"/>
                <w:b/>
                <w:snapToGrid w:val="0"/>
                <w:lang w:val="es-ES_tradnl"/>
              </w:rPr>
              <w:t>Fecha</w:t>
            </w:r>
          </w:p>
        </w:tc>
        <w:tc>
          <w:tcPr>
            <w:tcW w:w="7244" w:type="dxa"/>
            <w:vAlign w:val="center"/>
          </w:tcPr>
          <w:p w:rsidR="00670E5E" w:rsidRPr="00101A51" w:rsidRDefault="00670E5E" w:rsidP="0003301B">
            <w:pPr>
              <w:jc w:val="center"/>
              <w:rPr>
                <w:rFonts w:cstheme="minorHAnsi"/>
                <w:b/>
                <w:snapToGrid w:val="0"/>
                <w:lang w:val="es-ES_tradnl"/>
              </w:rPr>
            </w:pPr>
            <w:r w:rsidRPr="00101A51">
              <w:rPr>
                <w:rFonts w:cstheme="minorHAnsi"/>
                <w:b/>
                <w:snapToGrid w:val="0"/>
                <w:lang w:val="es-ES_tradnl"/>
              </w:rPr>
              <w:t xml:space="preserve">Contratistas </w:t>
            </w:r>
            <w:r>
              <w:rPr>
                <w:rFonts w:cstheme="minorHAnsi"/>
                <w:b/>
                <w:snapToGrid w:val="0"/>
                <w:lang w:val="es-ES_tradnl"/>
              </w:rPr>
              <w:t>Invitados</w:t>
            </w:r>
          </w:p>
        </w:tc>
      </w:tr>
      <w:tr w:rsidR="00670E5E" w:rsidRPr="00F93A17" w:rsidTr="007B5F48">
        <w:trPr>
          <w:trHeight w:val="1154"/>
        </w:trPr>
        <w:tc>
          <w:tcPr>
            <w:tcW w:w="2660" w:type="dxa"/>
            <w:vAlign w:val="center"/>
          </w:tcPr>
          <w:p w:rsidR="00670E5E" w:rsidRPr="00F4619E" w:rsidRDefault="00670E5E" w:rsidP="00A22F45">
            <w:pPr>
              <w:ind w:left="-142" w:right="-169"/>
              <w:jc w:val="center"/>
              <w:rPr>
                <w:rFonts w:cstheme="minorHAnsi"/>
                <w:snapToGrid w:val="0"/>
                <w:lang w:val="es-ES_tradnl"/>
              </w:rPr>
            </w:pPr>
            <w:r w:rsidRPr="00710CC2">
              <w:rPr>
                <w:rFonts w:cstheme="minorHAnsi"/>
                <w:noProof/>
                <w:snapToGrid w:val="0"/>
                <w:color w:val="0000FF"/>
                <w:lang w:val="es-ES_tradnl"/>
              </w:rPr>
              <w:t>29 de marzo de 2016</w:t>
            </w:r>
          </w:p>
        </w:tc>
        <w:tc>
          <w:tcPr>
            <w:tcW w:w="7244" w:type="dxa"/>
            <w:vAlign w:val="center"/>
          </w:tcPr>
          <w:p w:rsidR="00670E5E" w:rsidRPr="007B5F48" w:rsidRDefault="00670E5E" w:rsidP="00C43495">
            <w:pPr>
              <w:pStyle w:val="Prrafodelista"/>
              <w:numPr>
                <w:ilvl w:val="0"/>
                <w:numId w:val="30"/>
              </w:numPr>
              <w:tabs>
                <w:tab w:val="left" w:pos="317"/>
              </w:tabs>
              <w:ind w:hanging="686"/>
              <w:rPr>
                <w:b/>
              </w:rPr>
            </w:pPr>
            <w:r w:rsidRPr="007B5F48">
              <w:rPr>
                <w:b/>
              </w:rPr>
              <w:t>PROSER EMPRESARIAL, S.A. DE C.V.</w:t>
            </w:r>
          </w:p>
          <w:p w:rsidR="00670E5E" w:rsidRPr="007B5F48" w:rsidRDefault="00670E5E" w:rsidP="00C43495">
            <w:pPr>
              <w:pStyle w:val="Prrafodelista"/>
              <w:numPr>
                <w:ilvl w:val="0"/>
                <w:numId w:val="30"/>
              </w:numPr>
              <w:tabs>
                <w:tab w:val="left" w:pos="317"/>
              </w:tabs>
              <w:ind w:hanging="686"/>
              <w:rPr>
                <w:b/>
                <w:lang w:val="en-US"/>
              </w:rPr>
            </w:pPr>
            <w:r w:rsidRPr="007B5F48">
              <w:rPr>
                <w:b/>
                <w:lang w:val="en-US"/>
              </w:rPr>
              <w:t>OPEN SOLUTIONS INFORMATION TECHNOLOGIES, S.A. DE C.V.</w:t>
            </w:r>
          </w:p>
          <w:p w:rsidR="00670E5E" w:rsidRPr="007B5F48" w:rsidRDefault="00670E5E" w:rsidP="00C43495">
            <w:pPr>
              <w:pStyle w:val="Prrafodelista"/>
              <w:numPr>
                <w:ilvl w:val="0"/>
                <w:numId w:val="30"/>
              </w:numPr>
              <w:tabs>
                <w:tab w:val="left" w:pos="317"/>
              </w:tabs>
              <w:ind w:hanging="686"/>
              <w:rPr>
                <w:b/>
              </w:rPr>
            </w:pPr>
            <w:r w:rsidRPr="007B5F48">
              <w:rPr>
                <w:b/>
              </w:rPr>
              <w:t>SISTEMAS AVANZADOS EN COMPUTACIÓN DE MÉXICO, S.A. DE C.V.</w:t>
            </w:r>
          </w:p>
          <w:p w:rsidR="00670E5E" w:rsidRPr="007B5F48" w:rsidRDefault="00670E5E" w:rsidP="00975E9D">
            <w:pPr>
              <w:pStyle w:val="Prrafodelista"/>
              <w:numPr>
                <w:ilvl w:val="0"/>
                <w:numId w:val="30"/>
              </w:numPr>
              <w:tabs>
                <w:tab w:val="left" w:pos="317"/>
              </w:tabs>
              <w:ind w:hanging="686"/>
              <w:rPr>
                <w:rFonts w:cstheme="minorHAnsi"/>
                <w:b/>
                <w:snapToGrid w:val="0"/>
                <w:lang w:val="es-ES_tradnl"/>
              </w:rPr>
            </w:pPr>
            <w:r w:rsidRPr="007B5F48">
              <w:rPr>
                <w:b/>
                <w:lang w:val="en-US"/>
              </w:rPr>
              <w:t>DIAMOND AIR, S.A. DE C.V.</w:t>
            </w:r>
            <w:r>
              <w:rPr>
                <w:b/>
                <w:lang w:val="en-US"/>
              </w:rPr>
              <w:t xml:space="preserve">                                                                   </w:t>
            </w:r>
            <w:r w:rsidRPr="007B5F48">
              <w:rPr>
                <w:rFonts w:cstheme="minorHAnsi"/>
                <w:b/>
                <w:snapToGrid w:val="0"/>
                <w:lang w:val="es-ES_tradnl"/>
              </w:rPr>
              <w:t>(Anexo 3)</w:t>
            </w:r>
          </w:p>
        </w:tc>
      </w:tr>
      <w:tr w:rsidR="00670E5E" w:rsidRPr="00D911EE" w:rsidTr="007B5F48">
        <w:trPr>
          <w:trHeight w:val="1513"/>
        </w:trPr>
        <w:tc>
          <w:tcPr>
            <w:tcW w:w="9904" w:type="dxa"/>
            <w:gridSpan w:val="2"/>
            <w:vAlign w:val="center"/>
          </w:tcPr>
          <w:p w:rsidR="00670E5E" w:rsidRPr="002F528D" w:rsidRDefault="00670E5E" w:rsidP="00071FB8">
            <w:pPr>
              <w:jc w:val="both"/>
              <w:rPr>
                <w:rFonts w:cstheme="minorHAnsi"/>
                <w:b/>
                <w:snapToGrid w:val="0"/>
                <w:lang w:val="es-ES_tradnl"/>
              </w:rPr>
            </w:pPr>
            <w:r w:rsidRPr="00A375CD">
              <w:rPr>
                <w:rFonts w:cstheme="minorHAnsi"/>
                <w:snapToGrid w:val="0"/>
                <w:lang w:val="es-ES_tradnl"/>
              </w:rPr>
              <w:t>En observancia a lo dispuesto en el artículo 335, segundo párrafo del Acuerdo General del Pleno del Consejo de la Judicatura Federal, que establece las disposiciones en materia de actividad administrativa del propio Consejo, se difundió la realización del presente procedimiento en la página del Consejo de la Judicatura Federal: www.cjf.gob.mx, dentro de la sección “Servicios”, “</w:t>
            </w:r>
            <w:r>
              <w:rPr>
                <w:rFonts w:cstheme="minorHAnsi"/>
                <w:snapToGrid w:val="0"/>
                <w:lang w:val="es-ES_tradnl"/>
              </w:rPr>
              <w:t>Licitaciones</w:t>
            </w:r>
            <w:r w:rsidRPr="00A375CD">
              <w:rPr>
                <w:rFonts w:cstheme="minorHAnsi"/>
                <w:snapToGrid w:val="0"/>
                <w:lang w:val="es-ES_tradnl"/>
              </w:rPr>
              <w:t>”, en el apartado correspondiente</w:t>
            </w:r>
            <w:r>
              <w:rPr>
                <w:rFonts w:cstheme="minorHAnsi"/>
                <w:snapToGrid w:val="0"/>
                <w:lang w:val="es-ES_tradnl"/>
              </w:rPr>
              <w:t xml:space="preserve"> a “Inmuebles y Mantenimiento”.                                                   </w:t>
            </w:r>
            <w:r w:rsidRPr="00A375CD">
              <w:rPr>
                <w:rFonts w:cstheme="minorHAnsi"/>
                <w:snapToGrid w:val="0"/>
                <w:lang w:val="es-ES_tradnl"/>
              </w:rPr>
              <w:t xml:space="preserve">                                                                      </w:t>
            </w:r>
            <w:r w:rsidRPr="002F528D">
              <w:rPr>
                <w:rFonts w:cstheme="minorHAnsi"/>
                <w:b/>
                <w:snapToGrid w:val="0"/>
                <w:lang w:val="es-ES_tradnl"/>
              </w:rPr>
              <w:t>(Anexo 4)</w:t>
            </w:r>
          </w:p>
        </w:tc>
      </w:tr>
    </w:tbl>
    <w:p w:rsidR="00670E5E" w:rsidRPr="00D61255" w:rsidRDefault="00670E5E" w:rsidP="00876D0C">
      <w:pPr>
        <w:pStyle w:val="Prrafodelista"/>
        <w:spacing w:after="0"/>
        <w:jc w:val="both"/>
        <w:rPr>
          <w:rFonts w:cstheme="minorHAnsi"/>
          <w:b/>
          <w:snapToGrid w:val="0"/>
          <w:sz w:val="2"/>
          <w:lang w:val="es-ES_tradnl"/>
        </w:rPr>
      </w:pPr>
    </w:p>
    <w:p w:rsidR="00670E5E" w:rsidRPr="00975E9D" w:rsidRDefault="00670E5E" w:rsidP="00975E9D">
      <w:pPr>
        <w:spacing w:after="0" w:line="240" w:lineRule="auto"/>
        <w:rPr>
          <w:rFonts w:cstheme="minorHAnsi"/>
          <w:b/>
          <w:snapToGrid w:val="0"/>
          <w:sz w:val="20"/>
          <w:lang w:val="es-ES_tradnl"/>
        </w:rPr>
      </w:pPr>
    </w:p>
    <w:p w:rsidR="00670E5E" w:rsidRPr="00101A51" w:rsidRDefault="00670E5E" w:rsidP="00B47175">
      <w:pPr>
        <w:pStyle w:val="Prrafodelista"/>
        <w:numPr>
          <w:ilvl w:val="0"/>
          <w:numId w:val="2"/>
        </w:numPr>
        <w:spacing w:after="0"/>
        <w:jc w:val="both"/>
        <w:rPr>
          <w:rFonts w:cstheme="minorHAnsi"/>
          <w:b/>
          <w:snapToGrid w:val="0"/>
          <w:lang w:val="es-ES_tradnl"/>
        </w:rPr>
      </w:pPr>
      <w:r w:rsidRPr="00101A51">
        <w:rPr>
          <w:rFonts w:cstheme="minorHAnsi"/>
          <w:b/>
          <w:snapToGrid w:val="0"/>
          <w:lang w:val="es-ES_tradnl"/>
        </w:rPr>
        <w:t xml:space="preserve">Visita de Obra </w:t>
      </w:r>
      <w:r>
        <w:rPr>
          <w:rFonts w:cstheme="minorHAnsi"/>
          <w:b/>
          <w:snapToGrid w:val="0"/>
          <w:lang w:val="es-ES_tradnl"/>
        </w:rPr>
        <w:t>(No obligatoria)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7244"/>
      </w:tblGrid>
      <w:tr w:rsidR="00670E5E" w:rsidRPr="00101A51" w:rsidTr="00462850">
        <w:trPr>
          <w:trHeight w:val="227"/>
        </w:trPr>
        <w:tc>
          <w:tcPr>
            <w:tcW w:w="2660" w:type="dxa"/>
            <w:vAlign w:val="center"/>
          </w:tcPr>
          <w:p w:rsidR="00670E5E" w:rsidRPr="00101A51" w:rsidRDefault="00670E5E" w:rsidP="00B1122D">
            <w:pPr>
              <w:jc w:val="center"/>
              <w:rPr>
                <w:rFonts w:cstheme="minorHAnsi"/>
                <w:b/>
                <w:snapToGrid w:val="0"/>
                <w:lang w:val="es-ES_tradnl"/>
              </w:rPr>
            </w:pPr>
            <w:r w:rsidRPr="00101A51">
              <w:rPr>
                <w:rFonts w:cstheme="minorHAnsi"/>
                <w:b/>
                <w:snapToGrid w:val="0"/>
                <w:lang w:val="es-ES_tradnl"/>
              </w:rPr>
              <w:t>Fecha</w:t>
            </w:r>
          </w:p>
        </w:tc>
        <w:tc>
          <w:tcPr>
            <w:tcW w:w="7244" w:type="dxa"/>
            <w:vAlign w:val="center"/>
          </w:tcPr>
          <w:p w:rsidR="00670E5E" w:rsidRPr="00101A51" w:rsidRDefault="00670E5E" w:rsidP="00660B99">
            <w:pPr>
              <w:jc w:val="center"/>
              <w:rPr>
                <w:rFonts w:cstheme="minorHAnsi"/>
                <w:b/>
                <w:snapToGrid w:val="0"/>
                <w:lang w:val="es-ES_tradnl"/>
              </w:rPr>
            </w:pPr>
            <w:r w:rsidRPr="00101A51">
              <w:rPr>
                <w:rFonts w:cstheme="minorHAnsi"/>
                <w:b/>
                <w:snapToGrid w:val="0"/>
                <w:lang w:val="es-ES_tradnl"/>
              </w:rPr>
              <w:t>Asistente</w:t>
            </w:r>
            <w:r>
              <w:rPr>
                <w:rFonts w:cstheme="minorHAnsi"/>
                <w:b/>
                <w:snapToGrid w:val="0"/>
                <w:lang w:val="es-ES_tradnl"/>
              </w:rPr>
              <w:t>s</w:t>
            </w:r>
          </w:p>
        </w:tc>
      </w:tr>
      <w:tr w:rsidR="00670E5E" w:rsidRPr="00545499" w:rsidTr="005B6446">
        <w:trPr>
          <w:trHeight w:val="1106"/>
        </w:trPr>
        <w:tc>
          <w:tcPr>
            <w:tcW w:w="2660" w:type="dxa"/>
            <w:vAlign w:val="center"/>
          </w:tcPr>
          <w:p w:rsidR="00670E5E" w:rsidRPr="005605B2" w:rsidRDefault="00670E5E" w:rsidP="005605B2">
            <w:pPr>
              <w:pStyle w:val="Prrafodelista"/>
              <w:ind w:left="0"/>
              <w:jc w:val="center"/>
              <w:rPr>
                <w:rFonts w:cstheme="minorHAnsi"/>
                <w:snapToGrid w:val="0"/>
                <w:color w:val="FF0000"/>
                <w:lang w:val="es-ES_tradnl"/>
              </w:rPr>
            </w:pPr>
            <w:r w:rsidRPr="00710CC2">
              <w:rPr>
                <w:rFonts w:cstheme="minorHAnsi"/>
                <w:noProof/>
                <w:snapToGrid w:val="0"/>
                <w:color w:val="0000FF"/>
                <w:lang w:val="es-ES_tradnl"/>
              </w:rPr>
              <w:t>30 de marzo de 2016</w:t>
            </w:r>
          </w:p>
        </w:tc>
        <w:tc>
          <w:tcPr>
            <w:tcW w:w="7244" w:type="dxa"/>
            <w:vAlign w:val="center"/>
          </w:tcPr>
          <w:p w:rsidR="00670E5E" w:rsidRPr="007B5F48" w:rsidRDefault="00670E5E" w:rsidP="005F58CA">
            <w:pPr>
              <w:pStyle w:val="Prrafodelista"/>
              <w:numPr>
                <w:ilvl w:val="0"/>
                <w:numId w:val="35"/>
              </w:numPr>
              <w:tabs>
                <w:tab w:val="left" w:pos="317"/>
              </w:tabs>
              <w:ind w:hanging="686"/>
              <w:rPr>
                <w:b/>
              </w:rPr>
            </w:pPr>
            <w:r w:rsidRPr="007B5F48">
              <w:rPr>
                <w:b/>
              </w:rPr>
              <w:t>PROSER EMPRESARIAL, S.A. DE C.V.</w:t>
            </w:r>
          </w:p>
          <w:p w:rsidR="00670E5E" w:rsidRPr="007B5F48" w:rsidRDefault="00670E5E" w:rsidP="005F58CA">
            <w:pPr>
              <w:pStyle w:val="Prrafodelista"/>
              <w:numPr>
                <w:ilvl w:val="0"/>
                <w:numId w:val="35"/>
              </w:numPr>
              <w:tabs>
                <w:tab w:val="left" w:pos="317"/>
              </w:tabs>
              <w:ind w:hanging="686"/>
              <w:rPr>
                <w:b/>
                <w:lang w:val="en-US"/>
              </w:rPr>
            </w:pPr>
            <w:r w:rsidRPr="007B5F48">
              <w:rPr>
                <w:b/>
                <w:lang w:val="en-US"/>
              </w:rPr>
              <w:t>OPEN SOLUTIONS INFORMATION TECHNOLOGIES, S.A. DE C.V.</w:t>
            </w:r>
          </w:p>
          <w:p w:rsidR="00670E5E" w:rsidRPr="007B5F48" w:rsidRDefault="00670E5E" w:rsidP="005F58CA">
            <w:pPr>
              <w:pStyle w:val="Prrafodelista"/>
              <w:numPr>
                <w:ilvl w:val="0"/>
                <w:numId w:val="35"/>
              </w:numPr>
              <w:tabs>
                <w:tab w:val="left" w:pos="317"/>
              </w:tabs>
              <w:ind w:hanging="686"/>
              <w:rPr>
                <w:b/>
              </w:rPr>
            </w:pPr>
            <w:r w:rsidRPr="007B5F48">
              <w:rPr>
                <w:b/>
              </w:rPr>
              <w:t>SISTEMAS AVANZADOS EN COMPUTACIÓN DE MÉXICO, S.A. DE C.V.</w:t>
            </w:r>
          </w:p>
          <w:p w:rsidR="00670E5E" w:rsidRPr="005F58CA" w:rsidRDefault="00670E5E" w:rsidP="005F58CA">
            <w:pPr>
              <w:pStyle w:val="Prrafodelista"/>
              <w:numPr>
                <w:ilvl w:val="0"/>
                <w:numId w:val="35"/>
              </w:numPr>
              <w:tabs>
                <w:tab w:val="left" w:pos="317"/>
              </w:tabs>
              <w:ind w:hanging="686"/>
              <w:rPr>
                <w:b/>
                <w:lang w:val="en-US"/>
              </w:rPr>
            </w:pPr>
            <w:r w:rsidRPr="007B5F48">
              <w:rPr>
                <w:b/>
                <w:lang w:val="en-US"/>
              </w:rPr>
              <w:t>DIAMOND AIR, S.A. DE C.V.</w:t>
            </w:r>
          </w:p>
        </w:tc>
      </w:tr>
      <w:tr w:rsidR="00670E5E" w:rsidRPr="00C1722D" w:rsidTr="00C1722D">
        <w:trPr>
          <w:trHeight w:val="245"/>
        </w:trPr>
        <w:tc>
          <w:tcPr>
            <w:tcW w:w="9904" w:type="dxa"/>
            <w:gridSpan w:val="2"/>
            <w:vAlign w:val="center"/>
          </w:tcPr>
          <w:p w:rsidR="00670E5E" w:rsidRPr="00C1722D" w:rsidRDefault="00670E5E" w:rsidP="00C1722D">
            <w:pPr>
              <w:jc w:val="right"/>
              <w:rPr>
                <w:rFonts w:cstheme="minorHAnsi"/>
                <w:b/>
                <w:snapToGrid w:val="0"/>
                <w:lang w:val="es-ES_tradnl"/>
              </w:rPr>
            </w:pPr>
            <w:r w:rsidRPr="00C1722D">
              <w:rPr>
                <w:rFonts w:cstheme="minorHAnsi"/>
                <w:b/>
              </w:rPr>
              <w:t>(Anexo 5)</w:t>
            </w:r>
          </w:p>
        </w:tc>
      </w:tr>
    </w:tbl>
    <w:p w:rsidR="00670E5E" w:rsidRPr="00033C58" w:rsidRDefault="00670E5E" w:rsidP="0008092A">
      <w:pPr>
        <w:pStyle w:val="Prrafodelista"/>
        <w:spacing w:after="0"/>
        <w:jc w:val="both"/>
        <w:rPr>
          <w:rFonts w:cstheme="minorHAnsi"/>
          <w:b/>
          <w:snapToGrid w:val="0"/>
          <w:sz w:val="24"/>
          <w:lang w:val="es-ES_tradnl"/>
        </w:rPr>
      </w:pPr>
    </w:p>
    <w:p w:rsidR="00670E5E" w:rsidRPr="00101A51" w:rsidRDefault="00670E5E" w:rsidP="00B47175">
      <w:pPr>
        <w:pStyle w:val="Prrafodelista"/>
        <w:numPr>
          <w:ilvl w:val="0"/>
          <w:numId w:val="2"/>
        </w:numPr>
        <w:spacing w:after="0"/>
        <w:jc w:val="both"/>
        <w:rPr>
          <w:rFonts w:cstheme="minorHAnsi"/>
          <w:b/>
          <w:snapToGrid w:val="0"/>
          <w:lang w:val="es-ES_tradnl"/>
        </w:rPr>
      </w:pPr>
      <w:r w:rsidRPr="00101A51">
        <w:rPr>
          <w:rFonts w:cstheme="minorHAnsi"/>
          <w:b/>
          <w:snapToGrid w:val="0"/>
          <w:lang w:val="es-ES_tradnl"/>
        </w:rPr>
        <w:t xml:space="preserve">Junta de Aclaraciones </w:t>
      </w:r>
      <w:r>
        <w:rPr>
          <w:rFonts w:cstheme="minorHAnsi"/>
          <w:b/>
          <w:snapToGrid w:val="0"/>
          <w:lang w:val="es-ES_tradnl"/>
        </w:rPr>
        <w:t>(No obligatoria)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7244"/>
      </w:tblGrid>
      <w:tr w:rsidR="00670E5E" w:rsidRPr="00101A51" w:rsidTr="00462850">
        <w:trPr>
          <w:trHeight w:val="227"/>
        </w:trPr>
        <w:tc>
          <w:tcPr>
            <w:tcW w:w="2660" w:type="dxa"/>
            <w:vAlign w:val="center"/>
          </w:tcPr>
          <w:p w:rsidR="00670E5E" w:rsidRPr="00101A51" w:rsidRDefault="00670E5E" w:rsidP="003420B5">
            <w:pPr>
              <w:jc w:val="center"/>
              <w:rPr>
                <w:rFonts w:cstheme="minorHAnsi"/>
                <w:b/>
                <w:snapToGrid w:val="0"/>
                <w:lang w:val="es-ES_tradnl"/>
              </w:rPr>
            </w:pPr>
            <w:r w:rsidRPr="00101A51">
              <w:rPr>
                <w:rFonts w:cstheme="minorHAnsi"/>
                <w:b/>
                <w:snapToGrid w:val="0"/>
                <w:lang w:val="es-ES_tradnl"/>
              </w:rPr>
              <w:t>Fecha</w:t>
            </w:r>
          </w:p>
        </w:tc>
        <w:tc>
          <w:tcPr>
            <w:tcW w:w="7244" w:type="dxa"/>
            <w:vAlign w:val="center"/>
          </w:tcPr>
          <w:p w:rsidR="00670E5E" w:rsidRPr="00101A51" w:rsidRDefault="00670E5E" w:rsidP="003420B5">
            <w:pPr>
              <w:jc w:val="center"/>
              <w:rPr>
                <w:rFonts w:cstheme="minorHAnsi"/>
                <w:b/>
                <w:snapToGrid w:val="0"/>
                <w:lang w:val="es-ES_tradnl"/>
              </w:rPr>
            </w:pPr>
            <w:r w:rsidRPr="00101A51">
              <w:rPr>
                <w:rFonts w:cstheme="minorHAnsi"/>
                <w:b/>
                <w:snapToGrid w:val="0"/>
                <w:lang w:val="es-ES_tradnl"/>
              </w:rPr>
              <w:t>Asistentes</w:t>
            </w:r>
          </w:p>
        </w:tc>
      </w:tr>
      <w:tr w:rsidR="00670E5E" w:rsidRPr="00E231B4" w:rsidTr="00033C58">
        <w:trPr>
          <w:trHeight w:val="502"/>
        </w:trPr>
        <w:tc>
          <w:tcPr>
            <w:tcW w:w="2660" w:type="dxa"/>
            <w:vAlign w:val="center"/>
          </w:tcPr>
          <w:p w:rsidR="00670E5E" w:rsidRPr="00101A51" w:rsidRDefault="00670E5E" w:rsidP="009A1AA5">
            <w:pPr>
              <w:ind w:left="-142" w:right="-169"/>
              <w:jc w:val="center"/>
              <w:rPr>
                <w:rFonts w:cstheme="minorHAnsi"/>
                <w:b/>
                <w:snapToGrid w:val="0"/>
                <w:lang w:val="es-ES_tradnl"/>
              </w:rPr>
            </w:pPr>
            <w:r w:rsidRPr="00710CC2">
              <w:rPr>
                <w:rFonts w:cstheme="minorHAnsi"/>
                <w:noProof/>
                <w:snapToGrid w:val="0"/>
                <w:color w:val="0000FF"/>
                <w:lang w:val="es-ES_tradnl"/>
              </w:rPr>
              <w:t>30 de marzo de 2016</w:t>
            </w:r>
          </w:p>
        </w:tc>
        <w:tc>
          <w:tcPr>
            <w:tcW w:w="7244" w:type="dxa"/>
            <w:vAlign w:val="center"/>
          </w:tcPr>
          <w:p w:rsidR="00670E5E" w:rsidRPr="00EF22B2" w:rsidRDefault="00670E5E" w:rsidP="001F2FB9">
            <w:pPr>
              <w:tabs>
                <w:tab w:val="left" w:pos="317"/>
              </w:tabs>
              <w:rPr>
                <w:rFonts w:cstheme="minorHAnsi"/>
                <w:b/>
                <w:snapToGrid w:val="0"/>
                <w:lang w:val="es-ES_tradnl"/>
              </w:rPr>
            </w:pPr>
            <w:r>
              <w:rPr>
                <w:rFonts w:cstheme="minorHAnsi"/>
                <w:b/>
                <w:snapToGrid w:val="0"/>
                <w:lang w:val="es-ES_tradnl"/>
              </w:rPr>
              <w:t>No se presentó ninguna de las empresas invitadas.</w:t>
            </w:r>
          </w:p>
        </w:tc>
      </w:tr>
      <w:tr w:rsidR="00670E5E" w:rsidRPr="002F67BF" w:rsidTr="00007175">
        <w:trPr>
          <w:trHeight w:val="447"/>
        </w:trPr>
        <w:tc>
          <w:tcPr>
            <w:tcW w:w="9904" w:type="dxa"/>
            <w:gridSpan w:val="2"/>
            <w:vAlign w:val="center"/>
          </w:tcPr>
          <w:p w:rsidR="00670E5E" w:rsidRDefault="00670E5E" w:rsidP="00007175">
            <w:pPr>
              <w:jc w:val="both"/>
              <w:rPr>
                <w:rFonts w:cstheme="minorHAnsi"/>
              </w:rPr>
            </w:pPr>
            <w:r>
              <w:rPr>
                <w:rFonts w:cstheme="minorHAnsi"/>
              </w:rPr>
              <w:t xml:space="preserve">Vía correo electrónico se envió el Acta de Junta de Aclaraciones, a las cuatro empresas inscritas. </w:t>
            </w:r>
          </w:p>
          <w:p w:rsidR="00670E5E" w:rsidRPr="008E1499" w:rsidRDefault="00670E5E" w:rsidP="00007175">
            <w:pPr>
              <w:jc w:val="right"/>
              <w:rPr>
                <w:rFonts w:cstheme="minorHAnsi"/>
                <w:b/>
                <w:lang w:val="es-ES_tradnl"/>
              </w:rPr>
            </w:pPr>
            <w:r w:rsidRPr="008E1499">
              <w:rPr>
                <w:rFonts w:cstheme="minorHAnsi"/>
              </w:rPr>
              <w:t xml:space="preserve"> </w:t>
            </w:r>
            <w:r w:rsidRPr="008E1499">
              <w:rPr>
                <w:rFonts w:cstheme="minorHAnsi"/>
                <w:b/>
              </w:rPr>
              <w:t xml:space="preserve">(Anexo </w:t>
            </w:r>
            <w:r>
              <w:rPr>
                <w:rFonts w:cstheme="minorHAnsi"/>
                <w:b/>
              </w:rPr>
              <w:t>6</w:t>
            </w:r>
            <w:r w:rsidRPr="008E1499">
              <w:rPr>
                <w:rFonts w:cstheme="minorHAnsi"/>
                <w:b/>
              </w:rPr>
              <w:t>)</w:t>
            </w:r>
          </w:p>
        </w:tc>
      </w:tr>
    </w:tbl>
    <w:p w:rsidR="00670E5E" w:rsidRPr="00033C58" w:rsidRDefault="00670E5E" w:rsidP="00E04EFA">
      <w:pPr>
        <w:spacing w:after="0"/>
        <w:jc w:val="both"/>
        <w:rPr>
          <w:rFonts w:cstheme="minorHAnsi"/>
          <w:b/>
          <w:snapToGrid w:val="0"/>
          <w:sz w:val="24"/>
          <w:lang w:val="es-ES_tradnl"/>
        </w:rPr>
      </w:pPr>
    </w:p>
    <w:p w:rsidR="00670E5E" w:rsidRPr="007A686B" w:rsidRDefault="00670E5E" w:rsidP="00B47175">
      <w:pPr>
        <w:pStyle w:val="Prrafodelista"/>
        <w:numPr>
          <w:ilvl w:val="0"/>
          <w:numId w:val="2"/>
        </w:numPr>
        <w:spacing w:after="0"/>
        <w:jc w:val="both"/>
        <w:rPr>
          <w:rFonts w:cstheme="minorHAnsi"/>
          <w:b/>
          <w:snapToGrid w:val="0"/>
          <w:lang w:val="es-ES_tradnl"/>
        </w:rPr>
      </w:pPr>
      <w:r w:rsidRPr="007A686B">
        <w:rPr>
          <w:rFonts w:cstheme="minorHAnsi"/>
          <w:b/>
          <w:snapToGrid w:val="0"/>
          <w:lang w:val="es-ES_tradnl"/>
        </w:rPr>
        <w:t>Acto de presentación y apertura de propuestas</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60"/>
        <w:gridCol w:w="7244"/>
      </w:tblGrid>
      <w:tr w:rsidR="00670E5E" w:rsidRPr="007A686B" w:rsidTr="00660B99">
        <w:trPr>
          <w:trHeight w:val="227"/>
        </w:trPr>
        <w:tc>
          <w:tcPr>
            <w:tcW w:w="2660" w:type="dxa"/>
            <w:vAlign w:val="center"/>
          </w:tcPr>
          <w:p w:rsidR="00670E5E" w:rsidRPr="007A686B" w:rsidRDefault="00670E5E" w:rsidP="00B1122D">
            <w:pPr>
              <w:jc w:val="center"/>
              <w:rPr>
                <w:rFonts w:cstheme="minorHAnsi"/>
                <w:b/>
                <w:snapToGrid w:val="0"/>
                <w:lang w:val="es-ES_tradnl"/>
              </w:rPr>
            </w:pPr>
            <w:r w:rsidRPr="007A686B">
              <w:rPr>
                <w:rFonts w:cstheme="minorHAnsi"/>
                <w:b/>
                <w:snapToGrid w:val="0"/>
                <w:lang w:val="es-ES_tradnl"/>
              </w:rPr>
              <w:t>Fecha</w:t>
            </w:r>
          </w:p>
        </w:tc>
        <w:tc>
          <w:tcPr>
            <w:tcW w:w="7244" w:type="dxa"/>
            <w:vAlign w:val="center"/>
          </w:tcPr>
          <w:p w:rsidR="00670E5E" w:rsidRPr="007A686B" w:rsidRDefault="00670E5E" w:rsidP="00B1122D">
            <w:pPr>
              <w:jc w:val="center"/>
              <w:rPr>
                <w:rFonts w:cstheme="minorHAnsi"/>
                <w:b/>
                <w:snapToGrid w:val="0"/>
                <w:lang w:val="es-ES_tradnl"/>
              </w:rPr>
            </w:pPr>
            <w:r w:rsidRPr="007A686B">
              <w:rPr>
                <w:rFonts w:cstheme="minorHAnsi"/>
                <w:b/>
                <w:snapToGrid w:val="0"/>
                <w:lang w:val="es-ES_tradnl"/>
              </w:rPr>
              <w:t>Presentaron propuesta</w:t>
            </w:r>
          </w:p>
        </w:tc>
      </w:tr>
      <w:tr w:rsidR="00670E5E" w:rsidRPr="00545499" w:rsidTr="008B645A">
        <w:trPr>
          <w:trHeight w:val="856"/>
        </w:trPr>
        <w:tc>
          <w:tcPr>
            <w:tcW w:w="2660" w:type="dxa"/>
            <w:vAlign w:val="center"/>
          </w:tcPr>
          <w:p w:rsidR="00670E5E" w:rsidRPr="001841DF" w:rsidRDefault="00670E5E" w:rsidP="00757789">
            <w:pPr>
              <w:ind w:right="-169" w:hanging="142"/>
              <w:jc w:val="center"/>
              <w:rPr>
                <w:rFonts w:cstheme="minorHAnsi"/>
                <w:snapToGrid w:val="0"/>
                <w:lang w:val="es-ES_tradnl"/>
              </w:rPr>
            </w:pPr>
            <w:r w:rsidRPr="00710CC2">
              <w:rPr>
                <w:rFonts w:cstheme="minorHAnsi"/>
                <w:noProof/>
                <w:snapToGrid w:val="0"/>
                <w:color w:val="0000FF"/>
                <w:lang w:val="es-ES_tradnl"/>
              </w:rPr>
              <w:t>07 de abril de 2016</w:t>
            </w:r>
          </w:p>
        </w:tc>
        <w:tc>
          <w:tcPr>
            <w:tcW w:w="7244" w:type="dxa"/>
            <w:vAlign w:val="center"/>
          </w:tcPr>
          <w:p w:rsidR="00670E5E" w:rsidRPr="007B5F48" w:rsidRDefault="00670E5E" w:rsidP="0012629A">
            <w:pPr>
              <w:pStyle w:val="Prrafodelista"/>
              <w:numPr>
                <w:ilvl w:val="0"/>
                <w:numId w:val="36"/>
              </w:numPr>
              <w:tabs>
                <w:tab w:val="left" w:pos="317"/>
              </w:tabs>
              <w:ind w:hanging="686"/>
              <w:rPr>
                <w:b/>
              </w:rPr>
            </w:pPr>
            <w:r w:rsidRPr="007B5F48">
              <w:rPr>
                <w:b/>
              </w:rPr>
              <w:t>PROSER EMPRESARIAL, S.A. DE C.V.</w:t>
            </w:r>
          </w:p>
          <w:p w:rsidR="00670E5E" w:rsidRPr="007B5F48" w:rsidRDefault="00670E5E" w:rsidP="0012629A">
            <w:pPr>
              <w:pStyle w:val="Prrafodelista"/>
              <w:numPr>
                <w:ilvl w:val="0"/>
                <w:numId w:val="36"/>
              </w:numPr>
              <w:tabs>
                <w:tab w:val="left" w:pos="317"/>
              </w:tabs>
              <w:ind w:hanging="686"/>
              <w:rPr>
                <w:b/>
                <w:lang w:val="en-US"/>
              </w:rPr>
            </w:pPr>
            <w:r w:rsidRPr="007B5F48">
              <w:rPr>
                <w:b/>
                <w:lang w:val="en-US"/>
              </w:rPr>
              <w:t>OPEN SOLUTIONS INFORMATION TECHNOLOGIES, S.A. DE C.V.</w:t>
            </w:r>
          </w:p>
          <w:p w:rsidR="00670E5E" w:rsidRPr="007B5F48" w:rsidRDefault="00670E5E" w:rsidP="0012629A">
            <w:pPr>
              <w:pStyle w:val="Prrafodelista"/>
              <w:numPr>
                <w:ilvl w:val="0"/>
                <w:numId w:val="36"/>
              </w:numPr>
              <w:tabs>
                <w:tab w:val="left" w:pos="317"/>
              </w:tabs>
              <w:ind w:hanging="686"/>
              <w:rPr>
                <w:b/>
              </w:rPr>
            </w:pPr>
            <w:r w:rsidRPr="007B5F48">
              <w:rPr>
                <w:b/>
              </w:rPr>
              <w:t>SISTEMAS AVANZADOS EN COMPUTACIÓN DE MÉXICO, S.A. DE C.V.</w:t>
            </w:r>
          </w:p>
          <w:p w:rsidR="00670E5E" w:rsidRPr="005F58CA" w:rsidRDefault="00670E5E" w:rsidP="0012629A">
            <w:pPr>
              <w:pStyle w:val="Prrafodelista"/>
              <w:numPr>
                <w:ilvl w:val="0"/>
                <w:numId w:val="36"/>
              </w:numPr>
              <w:tabs>
                <w:tab w:val="left" w:pos="317"/>
              </w:tabs>
              <w:ind w:hanging="686"/>
              <w:rPr>
                <w:b/>
                <w:lang w:val="en-US"/>
              </w:rPr>
            </w:pPr>
            <w:r w:rsidRPr="007B5F48">
              <w:rPr>
                <w:b/>
                <w:lang w:val="en-US"/>
              </w:rPr>
              <w:t>DIAMOND AIR, S.A. DE C.V.</w:t>
            </w:r>
          </w:p>
        </w:tc>
      </w:tr>
      <w:tr w:rsidR="00670E5E" w:rsidRPr="00B66164" w:rsidTr="007075C4">
        <w:trPr>
          <w:trHeight w:val="183"/>
        </w:trPr>
        <w:tc>
          <w:tcPr>
            <w:tcW w:w="9904" w:type="dxa"/>
            <w:gridSpan w:val="2"/>
            <w:vAlign w:val="center"/>
          </w:tcPr>
          <w:p w:rsidR="00670E5E" w:rsidRPr="008A70B7" w:rsidRDefault="00670E5E" w:rsidP="00B775E8">
            <w:pPr>
              <w:jc w:val="right"/>
              <w:rPr>
                <w:rFonts w:cstheme="minorHAnsi"/>
                <w:snapToGrid w:val="0"/>
              </w:rPr>
            </w:pPr>
            <w:r w:rsidRPr="0012629A">
              <w:rPr>
                <w:rFonts w:cstheme="minorHAnsi"/>
                <w:snapToGrid w:val="0"/>
                <w:lang w:val="en-US"/>
              </w:rPr>
              <w:t xml:space="preserve"> </w:t>
            </w:r>
            <w:r w:rsidRPr="0012629A">
              <w:rPr>
                <w:rFonts w:cstheme="minorHAnsi"/>
                <w:b/>
                <w:snapToGrid w:val="0"/>
                <w:lang w:val="en-US"/>
              </w:rPr>
              <w:t xml:space="preserve"> </w:t>
            </w:r>
            <w:r w:rsidRPr="008A70B7">
              <w:rPr>
                <w:rFonts w:cstheme="minorHAnsi"/>
                <w:b/>
                <w:snapToGrid w:val="0"/>
                <w:lang w:val="es-ES_tradnl"/>
              </w:rPr>
              <w:t xml:space="preserve">(Anexo </w:t>
            </w:r>
            <w:r>
              <w:rPr>
                <w:rFonts w:cstheme="minorHAnsi"/>
                <w:b/>
                <w:snapToGrid w:val="0"/>
                <w:lang w:val="es-ES_tradnl"/>
              </w:rPr>
              <w:t>7</w:t>
            </w:r>
            <w:r w:rsidRPr="008A70B7">
              <w:rPr>
                <w:rFonts w:cstheme="minorHAnsi"/>
                <w:b/>
                <w:snapToGrid w:val="0"/>
                <w:lang w:val="es-ES_tradnl"/>
              </w:rPr>
              <w:t>)</w:t>
            </w:r>
          </w:p>
        </w:tc>
      </w:tr>
    </w:tbl>
    <w:p w:rsidR="00670E5E" w:rsidRDefault="00670E5E" w:rsidP="00F93A17">
      <w:pPr>
        <w:spacing w:after="0" w:line="240" w:lineRule="auto"/>
        <w:rPr>
          <w:rFonts w:cstheme="minorHAnsi"/>
          <w:b/>
          <w:snapToGrid w:val="0"/>
          <w:sz w:val="24"/>
        </w:rPr>
      </w:pPr>
    </w:p>
    <w:p w:rsidR="00670E5E" w:rsidRDefault="00670E5E">
      <w:pPr>
        <w:rPr>
          <w:rFonts w:cstheme="minorHAnsi"/>
          <w:b/>
          <w:snapToGrid w:val="0"/>
          <w:sz w:val="24"/>
        </w:rPr>
      </w:pPr>
      <w:r>
        <w:rPr>
          <w:rFonts w:cstheme="minorHAnsi"/>
          <w:b/>
          <w:snapToGrid w:val="0"/>
          <w:sz w:val="24"/>
        </w:rPr>
        <w:br w:type="page"/>
      </w:r>
    </w:p>
    <w:p w:rsidR="00670E5E" w:rsidRPr="00ED3CCB" w:rsidRDefault="00670E5E" w:rsidP="00F93A17">
      <w:pPr>
        <w:spacing w:after="0" w:line="240" w:lineRule="auto"/>
        <w:rPr>
          <w:rFonts w:cstheme="minorHAnsi"/>
          <w:b/>
          <w:snapToGrid w:val="0"/>
          <w:sz w:val="24"/>
        </w:rPr>
      </w:pPr>
    </w:p>
    <w:p w:rsidR="00670E5E" w:rsidRDefault="00670E5E" w:rsidP="008A10C2">
      <w:pPr>
        <w:spacing w:after="0" w:line="240" w:lineRule="auto"/>
        <w:jc w:val="both"/>
        <w:rPr>
          <w:rFonts w:cstheme="minorHAnsi"/>
          <w:b/>
          <w:snapToGrid w:val="0"/>
        </w:rPr>
      </w:pPr>
      <w:r w:rsidRPr="008A70B7">
        <w:rPr>
          <w:rFonts w:cstheme="minorHAnsi"/>
          <w:b/>
          <w:snapToGrid w:val="0"/>
        </w:rPr>
        <w:t>DICTÁMENES RESOLUTIVOS</w:t>
      </w:r>
    </w:p>
    <w:p w:rsidR="00670E5E" w:rsidRPr="00ED3CCB" w:rsidRDefault="00670E5E" w:rsidP="008A10C2">
      <w:pPr>
        <w:spacing w:after="0" w:line="240" w:lineRule="auto"/>
        <w:jc w:val="both"/>
        <w:rPr>
          <w:rFonts w:cstheme="minorHAnsi"/>
          <w:b/>
          <w:snapToGrid w:val="0"/>
          <w:sz w:val="18"/>
        </w:rPr>
      </w:pPr>
    </w:p>
    <w:p w:rsidR="00670E5E" w:rsidRDefault="00670E5E" w:rsidP="003470F7">
      <w:pPr>
        <w:pStyle w:val="Prrafodelista"/>
        <w:numPr>
          <w:ilvl w:val="0"/>
          <w:numId w:val="4"/>
        </w:numPr>
        <w:spacing w:after="0"/>
        <w:ind w:left="284" w:right="20" w:hanging="284"/>
        <w:jc w:val="both"/>
        <w:rPr>
          <w:rFonts w:cstheme="minorHAnsi"/>
          <w:b/>
        </w:rPr>
      </w:pPr>
      <w:r w:rsidRPr="00273ACE">
        <w:rPr>
          <w:rFonts w:cstheme="minorHAnsi"/>
          <w:b/>
        </w:rPr>
        <w:t xml:space="preserve">Desarrollo de la </w:t>
      </w:r>
      <w:proofErr w:type="spellStart"/>
      <w:r w:rsidRPr="00273ACE">
        <w:rPr>
          <w:rFonts w:cstheme="minorHAnsi"/>
          <w:b/>
        </w:rPr>
        <w:t>Dictaminación</w:t>
      </w:r>
      <w:proofErr w:type="spellEnd"/>
      <w:r w:rsidRPr="00273ACE">
        <w:rPr>
          <w:rFonts w:cstheme="minorHAnsi"/>
          <w:b/>
        </w:rPr>
        <w:t xml:space="preserve"> </w:t>
      </w:r>
    </w:p>
    <w:p w:rsidR="00670E5E" w:rsidRPr="00975E9D" w:rsidRDefault="00670E5E">
      <w:pPr>
        <w:rPr>
          <w:rFonts w:cstheme="minorHAnsi"/>
          <w:b/>
          <w:sz w:val="10"/>
        </w:rPr>
      </w:pPr>
    </w:p>
    <w:p w:rsidR="00670E5E" w:rsidRPr="008A70B7" w:rsidRDefault="00670E5E" w:rsidP="00B47175">
      <w:pPr>
        <w:pStyle w:val="Prrafodelista"/>
        <w:numPr>
          <w:ilvl w:val="0"/>
          <w:numId w:val="3"/>
        </w:numPr>
        <w:spacing w:after="0"/>
        <w:ind w:right="20"/>
        <w:jc w:val="both"/>
        <w:rPr>
          <w:rFonts w:cstheme="minorHAnsi"/>
          <w:b/>
        </w:rPr>
      </w:pPr>
      <w:r w:rsidRPr="008A70B7">
        <w:rPr>
          <w:rFonts w:cstheme="minorHAnsi"/>
          <w:b/>
        </w:rPr>
        <w:t>Dictamen Resolutivo Financiero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670E5E" w:rsidRPr="008A70B7" w:rsidTr="008B645A">
        <w:trPr>
          <w:trHeight w:val="1140"/>
        </w:trPr>
        <w:tc>
          <w:tcPr>
            <w:tcW w:w="9828" w:type="dxa"/>
            <w:vAlign w:val="center"/>
          </w:tcPr>
          <w:p w:rsidR="00670E5E" w:rsidRPr="00BE69A8" w:rsidRDefault="00670E5E" w:rsidP="00DA3328">
            <w:pPr>
              <w:jc w:val="both"/>
              <w:rPr>
                <w:rFonts w:eastAsia="Calibri" w:cstheme="minorHAnsi"/>
              </w:rPr>
            </w:pPr>
            <w:r w:rsidRPr="00BE69A8">
              <w:rPr>
                <w:rFonts w:eastAsia="Calibri" w:cstheme="minorHAnsi"/>
              </w:rPr>
              <w:t xml:space="preserve">La Dirección General de Programación y Presupuesto con fundamento en el artículo 303 y 324 último párrafo del Acuerdo General del Pleno del Consejo de la Judicatura Federal, que establece las disposiciones en materia de actividad administrativa del propio Consejo, numerales 7.3 “DOCUMENTACIÓN PARA LA EVALUACIÓN FINANCIERA” y 8.2 “ANÁLISIS Y EVALUACIÓN DE LA CAPACIDAD FINANCIERA” de las Bases del procedimiento; así como lo señalado en el “ACTA DE PRESENTACIÓN Y APERTURA DE PROPUESTAS” de fecha </w:t>
            </w:r>
            <w:r w:rsidRPr="00710CC2">
              <w:rPr>
                <w:rFonts w:eastAsia="Calibri" w:cstheme="minorHAnsi"/>
                <w:noProof/>
              </w:rPr>
              <w:t>07 de abril de 2016</w:t>
            </w:r>
            <w:r w:rsidRPr="00BE69A8">
              <w:rPr>
                <w:rFonts w:eastAsia="Calibri" w:cstheme="minorHAnsi"/>
              </w:rPr>
              <w:t xml:space="preserve"> de dicho procedimiento, </w:t>
            </w:r>
            <w:r w:rsidRPr="00BE69A8">
              <w:rPr>
                <w:rFonts w:ascii="Calibri" w:eastAsia="Calibri" w:hAnsi="Calibri" w:cstheme="minorHAnsi"/>
                <w:noProof/>
              </w:rPr>
              <w:t>mediante el oficio número</w:t>
            </w:r>
            <w:r w:rsidRPr="00BE69A8">
              <w:rPr>
                <w:rFonts w:eastAsia="Calibri" w:cstheme="minorHAnsi"/>
              </w:rPr>
              <w:t xml:space="preserve"> </w:t>
            </w:r>
            <w:r w:rsidRPr="00710CC2">
              <w:rPr>
                <w:rFonts w:ascii="Calibri" w:eastAsia="Calibri" w:hAnsi="Calibri" w:cstheme="minorHAnsi"/>
                <w:noProof/>
              </w:rPr>
              <w:t>SEA/DGPP/STP/DCEP/1612/2016</w:t>
            </w:r>
            <w:r w:rsidRPr="00BE69A8">
              <w:rPr>
                <w:rFonts w:ascii="Calibri" w:eastAsia="Calibri" w:hAnsi="Calibri" w:cstheme="minorHAnsi"/>
                <w:noProof/>
              </w:rPr>
              <w:t xml:space="preserve"> </w:t>
            </w:r>
            <w:r w:rsidRPr="00BE69A8">
              <w:rPr>
                <w:rFonts w:eastAsia="Calibri" w:cstheme="minorHAnsi"/>
              </w:rPr>
              <w:t xml:space="preserve">de fecha </w:t>
            </w:r>
            <w:r w:rsidRPr="00710CC2">
              <w:rPr>
                <w:rFonts w:ascii="Calibri" w:eastAsia="Calibri" w:hAnsi="Calibri" w:cstheme="minorHAnsi"/>
                <w:noProof/>
              </w:rPr>
              <w:t>19 de abril de 2016</w:t>
            </w:r>
            <w:r w:rsidRPr="00BE69A8">
              <w:rPr>
                <w:rFonts w:ascii="Calibri" w:eastAsia="Calibri" w:hAnsi="Calibri" w:cstheme="minorHAnsi"/>
                <w:noProof/>
              </w:rPr>
              <w:t xml:space="preserve">, </w:t>
            </w:r>
            <w:r w:rsidRPr="00BE69A8">
              <w:rPr>
                <w:rFonts w:eastAsia="Calibri" w:cstheme="minorHAnsi"/>
              </w:rPr>
              <w:t xml:space="preserve">firmado por la Licenciada Liliana Hernández Ambriz, Directora General de Programación y Presupuesto, con base en las Cédulas de Análisis elaboradas por María del Carmen Espinosa Rosales, Jefa del Departamento de Dictamen Financiero, revisadas por Marco Antonio Buenrostro Maciel, Subdirector de Dictamen Financiero y comprobación de Viáticos, y validadas por el Contador Público Jesús </w:t>
            </w:r>
            <w:proofErr w:type="spellStart"/>
            <w:r w:rsidRPr="00BE69A8">
              <w:rPr>
                <w:rFonts w:eastAsia="Calibri" w:cstheme="minorHAnsi"/>
              </w:rPr>
              <w:t>Huitrón</w:t>
            </w:r>
            <w:proofErr w:type="spellEnd"/>
            <w:r w:rsidRPr="00BE69A8">
              <w:rPr>
                <w:rFonts w:eastAsia="Calibri" w:cstheme="minorHAnsi"/>
              </w:rPr>
              <w:t xml:space="preserve"> Zaragoza, Director de Control del Ejercicio Presupuestal,  emitió el DICTAMEN RESOLUTIVO FINANCIERO, concluyendo lo siguiente:</w:t>
            </w:r>
          </w:p>
          <w:p w:rsidR="00670E5E" w:rsidRPr="00BE69A8" w:rsidRDefault="00670E5E" w:rsidP="00DA3328">
            <w:pPr>
              <w:jc w:val="both"/>
              <w:rPr>
                <w:rFonts w:eastAsia="Calibri" w:cstheme="minorHAnsi"/>
              </w:rPr>
            </w:pPr>
          </w:p>
          <w:p w:rsidR="00670E5E" w:rsidRPr="00BE69A8" w:rsidRDefault="00670E5E" w:rsidP="00DA3328">
            <w:pPr>
              <w:jc w:val="both"/>
              <w:rPr>
                <w:rFonts w:eastAsia="Calibri" w:cstheme="minorHAnsi"/>
              </w:rPr>
            </w:pPr>
            <w:r w:rsidRPr="00BE69A8">
              <w:rPr>
                <w:rFonts w:eastAsia="Calibri" w:cstheme="minorHAnsi"/>
              </w:rPr>
              <w:t>La Dirección General de Programación y Presupuesto, de conformidad con lo señalado en el numeral 8.2. “ANÁLISIS Y EVALUACIÓN DE LA CAPACIDAD FINANCIERA” de las Bases del procedimiento; analizó la documentación financiera presentada por las participantes, a efecto de valorar su liquidez, solvencia y capital contable, así como el cumplimiento  de los requisitos solicitados en las mismas.</w:t>
            </w:r>
          </w:p>
          <w:p w:rsidR="00670E5E" w:rsidRPr="00BE69A8" w:rsidRDefault="00670E5E" w:rsidP="00DA3328">
            <w:pPr>
              <w:jc w:val="both"/>
              <w:rPr>
                <w:rFonts w:eastAsia="Calibri" w:cstheme="minorHAnsi"/>
              </w:rPr>
            </w:pPr>
          </w:p>
          <w:p w:rsidR="00670E5E" w:rsidRPr="00BE69A8" w:rsidRDefault="00670E5E" w:rsidP="00DA3328">
            <w:pPr>
              <w:jc w:val="both"/>
              <w:rPr>
                <w:rFonts w:eastAsia="Calibri" w:cstheme="minorHAnsi"/>
              </w:rPr>
            </w:pPr>
            <w:r w:rsidRPr="00BE69A8">
              <w:rPr>
                <w:rFonts w:eastAsia="Calibri" w:cstheme="minorHAnsi"/>
              </w:rPr>
              <w:t xml:space="preserve">Con base en lo anterior, determina como </w:t>
            </w:r>
            <w:r w:rsidRPr="00D426FC">
              <w:rPr>
                <w:rFonts w:eastAsia="Calibri" w:cstheme="minorHAnsi"/>
                <w:b/>
              </w:rPr>
              <w:t>“FAVORABLE” a las empresas que a continuación se enlistan</w:t>
            </w:r>
            <w:r w:rsidRPr="00BE69A8">
              <w:rPr>
                <w:rFonts w:eastAsia="Calibri" w:cstheme="minorHAnsi"/>
              </w:rPr>
              <w:t>, toda vez que cumplieron con la presentación de los requisitos y documentos solicitados en el numeral 7.3 “DOCUMENTACIÓN PARA LA EVALUACIÓN FINANCIERA” de las bases del procedimiento y se obtuvieron resultados superiores a los mínimos solicitados en la Tabla 2 señalada en el numeral 8.2.2 “DICTAMEN RESOLUTIVO FINANCIERO” de dichas Bases, como sigue:</w:t>
            </w:r>
          </w:p>
          <w:p w:rsidR="00670E5E" w:rsidRPr="00D426FC" w:rsidRDefault="00670E5E" w:rsidP="00DA3328">
            <w:pPr>
              <w:jc w:val="both"/>
              <w:rPr>
                <w:rFonts w:eastAsia="Calibri" w:cstheme="minorHAnsi"/>
              </w:rPr>
            </w:pPr>
          </w:p>
          <w:p w:rsidR="00670E5E" w:rsidRPr="00A90AF8" w:rsidRDefault="00670E5E" w:rsidP="00C83B06">
            <w:pPr>
              <w:tabs>
                <w:tab w:val="left" w:pos="34"/>
              </w:tabs>
              <w:rPr>
                <w:rFonts w:cstheme="minorHAnsi"/>
                <w:b/>
                <w:i/>
                <w:snapToGrid w:val="0"/>
              </w:rPr>
            </w:pPr>
            <w:r w:rsidRPr="00A90AF8">
              <w:rPr>
                <w:rFonts w:cstheme="minorHAnsi"/>
                <w:b/>
                <w:i/>
                <w:snapToGrid w:val="0"/>
              </w:rPr>
              <w:t>SISTEMAS AVANZADOS EN COMPUTACIÓN DE MÉXICO, S.A. DE C.V.</w:t>
            </w:r>
          </w:p>
          <w:p w:rsidR="00670E5E" w:rsidRPr="00A90AF8" w:rsidRDefault="00670E5E" w:rsidP="00C83B06">
            <w:pPr>
              <w:tabs>
                <w:tab w:val="left" w:pos="34"/>
              </w:tabs>
              <w:rPr>
                <w:rFonts w:cstheme="minorHAnsi"/>
                <w:b/>
                <w:i/>
                <w:snapToGrid w:val="0"/>
              </w:rPr>
            </w:pPr>
            <w:r w:rsidRPr="00A90AF8">
              <w:rPr>
                <w:rFonts w:cstheme="minorHAnsi"/>
                <w:b/>
                <w:i/>
                <w:snapToGrid w:val="0"/>
              </w:rPr>
              <w:t>PROSER EMPRESARIAL, S.A. DE C.V.</w:t>
            </w:r>
          </w:p>
          <w:p w:rsidR="00670E5E" w:rsidRPr="00BE69A8" w:rsidRDefault="00670E5E" w:rsidP="00DA3328">
            <w:pPr>
              <w:jc w:val="both"/>
              <w:rPr>
                <w:rFonts w:eastAsia="Calibri" w:cstheme="minorHAnsi"/>
              </w:rPr>
            </w:pPr>
          </w:p>
          <w:p w:rsidR="00670E5E" w:rsidRPr="00D426FC" w:rsidRDefault="00670E5E" w:rsidP="00B53A50">
            <w:pPr>
              <w:jc w:val="both"/>
              <w:rPr>
                <w:rFonts w:eastAsia="Calibri" w:cstheme="minorHAnsi"/>
                <w:b/>
              </w:rPr>
            </w:pPr>
            <w:r w:rsidRPr="00BE69A8">
              <w:rPr>
                <w:rFonts w:eastAsia="Calibri" w:cstheme="minorHAnsi"/>
              </w:rPr>
              <w:t>Por otra parte, con fundamento en los numerales 7.3 “DOCUMENTACIÓN PARA LA EVALUACIÓN FINANCIERA” y 8.2. “ANÁLISIS Y EVALUACIÓN DE LA CAPACIDAD FINANCIERA” de las Bases del procedimiento; así como, a lo señalado en el Capítulo III DEL ANÁLISIS DE LA SITUACIÓN FINANCIERA, disposición SÉPTIMA, fracción VI, de las Disposiciones señaladas, se emit</w:t>
            </w:r>
            <w:r>
              <w:rPr>
                <w:rFonts w:eastAsia="Calibri" w:cstheme="minorHAnsi"/>
              </w:rPr>
              <w:t>ió</w:t>
            </w:r>
            <w:r w:rsidRPr="00BE69A8">
              <w:rPr>
                <w:rFonts w:eastAsia="Calibri" w:cstheme="minorHAnsi"/>
              </w:rPr>
              <w:t xml:space="preserve"> Dictamen Resolutivo Financiero </w:t>
            </w:r>
            <w:r w:rsidRPr="00BE69A8">
              <w:rPr>
                <w:rFonts w:eastAsia="Calibri" w:cstheme="minorHAnsi"/>
                <w:b/>
              </w:rPr>
              <w:t>“NO FAVORABLE”,</w:t>
            </w:r>
            <w:r w:rsidRPr="00BE69A8">
              <w:rPr>
                <w:rFonts w:eastAsia="Calibri" w:cstheme="minorHAnsi"/>
              </w:rPr>
              <w:t xml:space="preserve"> </w:t>
            </w:r>
            <w:r w:rsidRPr="00D426FC">
              <w:rPr>
                <w:rFonts w:eastAsia="Calibri" w:cstheme="minorHAnsi"/>
                <w:b/>
              </w:rPr>
              <w:t>a las participantes que a continuación se señalan:</w:t>
            </w:r>
          </w:p>
          <w:p w:rsidR="00670E5E" w:rsidRDefault="00670E5E" w:rsidP="005B6446">
            <w:pPr>
              <w:jc w:val="both"/>
              <w:rPr>
                <w:rFonts w:eastAsia="Calibri" w:cstheme="minorHAnsi"/>
                <w:sz w:val="16"/>
              </w:rPr>
            </w:pPr>
          </w:p>
          <w:p w:rsidR="00670E5E" w:rsidRPr="00BE69A8" w:rsidRDefault="00670E5E" w:rsidP="005B6446">
            <w:pPr>
              <w:jc w:val="both"/>
              <w:rPr>
                <w:rFonts w:eastAsia="Calibri" w:cstheme="minorHAnsi"/>
                <w:sz w:val="16"/>
              </w:rPr>
            </w:pPr>
          </w:p>
          <w:p w:rsidR="00670E5E" w:rsidRPr="00BE69A8" w:rsidRDefault="00670E5E" w:rsidP="005B6446">
            <w:pPr>
              <w:tabs>
                <w:tab w:val="left" w:pos="34"/>
              </w:tabs>
              <w:rPr>
                <w:rFonts w:cstheme="minorHAnsi"/>
                <w:b/>
                <w:i/>
                <w:snapToGrid w:val="0"/>
                <w:lang w:val="en-US"/>
              </w:rPr>
            </w:pPr>
            <w:r w:rsidRPr="00BE69A8">
              <w:rPr>
                <w:rFonts w:cstheme="minorHAnsi"/>
                <w:b/>
                <w:i/>
                <w:snapToGrid w:val="0"/>
                <w:lang w:val="en-US"/>
              </w:rPr>
              <w:t>DIAMOND AIR, S.A. DE C.V.</w:t>
            </w:r>
          </w:p>
          <w:p w:rsidR="00670E5E" w:rsidRDefault="00670E5E" w:rsidP="00D426FC">
            <w:pPr>
              <w:tabs>
                <w:tab w:val="left" w:pos="34"/>
              </w:tabs>
              <w:rPr>
                <w:rFonts w:cstheme="minorHAnsi"/>
                <w:b/>
                <w:i/>
                <w:snapToGrid w:val="0"/>
                <w:lang w:val="en-US"/>
              </w:rPr>
            </w:pPr>
            <w:r w:rsidRPr="00BE69A8">
              <w:rPr>
                <w:rFonts w:cstheme="minorHAnsi"/>
                <w:b/>
                <w:i/>
                <w:snapToGrid w:val="0"/>
                <w:lang w:val="en-US"/>
              </w:rPr>
              <w:t>OPEN SOLUTIONS INFORMATION TECHNOLOGIES, S.A. DE C.V.</w:t>
            </w:r>
          </w:p>
          <w:p w:rsidR="00670E5E" w:rsidRPr="00BE69A8" w:rsidRDefault="00670E5E" w:rsidP="00D426FC">
            <w:pPr>
              <w:tabs>
                <w:tab w:val="left" w:pos="34"/>
              </w:tabs>
              <w:jc w:val="right"/>
              <w:rPr>
                <w:rFonts w:cstheme="minorHAnsi"/>
                <w:b/>
                <w:lang w:val="es-ES_tradnl"/>
              </w:rPr>
            </w:pPr>
            <w:r>
              <w:rPr>
                <w:rFonts w:cstheme="minorHAnsi"/>
                <w:b/>
                <w:i/>
                <w:snapToGrid w:val="0"/>
                <w:lang w:val="en-US"/>
              </w:rPr>
              <w:t xml:space="preserve">                                                             </w:t>
            </w:r>
            <w:r w:rsidRPr="00BE69A8">
              <w:rPr>
                <w:rFonts w:cstheme="minorHAnsi"/>
                <w:b/>
                <w:snapToGrid w:val="0"/>
                <w:lang w:val="es-ES_tradnl"/>
              </w:rPr>
              <w:t>(Anexo 8)</w:t>
            </w:r>
          </w:p>
        </w:tc>
      </w:tr>
    </w:tbl>
    <w:p w:rsidR="00670E5E" w:rsidRPr="00B66164" w:rsidRDefault="00670E5E" w:rsidP="008159C1">
      <w:pPr>
        <w:spacing w:after="0"/>
        <w:ind w:right="20"/>
        <w:jc w:val="both"/>
        <w:rPr>
          <w:rFonts w:cstheme="minorHAnsi"/>
          <w:b/>
          <w:color w:val="FF0000"/>
          <w:sz w:val="2"/>
        </w:rPr>
      </w:pPr>
    </w:p>
    <w:p w:rsidR="00670E5E" w:rsidRPr="00033C58" w:rsidRDefault="00670E5E" w:rsidP="00EF4A7B">
      <w:pPr>
        <w:pStyle w:val="Prrafodelista"/>
        <w:spacing w:after="0"/>
        <w:ind w:right="20"/>
        <w:jc w:val="both"/>
        <w:rPr>
          <w:rFonts w:cstheme="minorHAnsi"/>
          <w:b/>
        </w:rPr>
      </w:pPr>
    </w:p>
    <w:p w:rsidR="00670E5E" w:rsidRPr="008A70B7" w:rsidRDefault="00670E5E" w:rsidP="00B47175">
      <w:pPr>
        <w:pStyle w:val="Prrafodelista"/>
        <w:numPr>
          <w:ilvl w:val="0"/>
          <w:numId w:val="3"/>
        </w:numPr>
        <w:spacing w:after="0"/>
        <w:ind w:right="20"/>
        <w:jc w:val="both"/>
        <w:rPr>
          <w:rFonts w:cstheme="minorHAnsi"/>
          <w:b/>
        </w:rPr>
      </w:pPr>
      <w:r w:rsidRPr="008A70B7">
        <w:rPr>
          <w:rFonts w:cstheme="minorHAnsi"/>
          <w:b/>
        </w:rPr>
        <w:t>Dictamen Resolutivo Legal</w:t>
      </w:r>
    </w:p>
    <w:tbl>
      <w:tblPr>
        <w:tblStyle w:val="Tablaconcuadrcula"/>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670E5E" w:rsidRPr="00B66164" w:rsidTr="00975E9D">
        <w:trPr>
          <w:trHeight w:val="1281"/>
        </w:trPr>
        <w:tc>
          <w:tcPr>
            <w:tcW w:w="9828" w:type="dxa"/>
            <w:vAlign w:val="center"/>
          </w:tcPr>
          <w:p w:rsidR="00670E5E" w:rsidRPr="0012629A" w:rsidRDefault="00670E5E" w:rsidP="00A46E67">
            <w:pPr>
              <w:pStyle w:val="Sinespaciado"/>
              <w:jc w:val="both"/>
              <w:rPr>
                <w:rFonts w:asciiTheme="minorHAnsi" w:hAnsiTheme="minorHAnsi" w:cstheme="minorHAnsi"/>
              </w:rPr>
            </w:pPr>
            <w:r w:rsidRPr="0012629A">
              <w:rPr>
                <w:rFonts w:asciiTheme="minorHAnsi" w:hAnsiTheme="minorHAnsi" w:cstheme="minorHAnsi"/>
              </w:rPr>
              <w:t>En apego a lo señalado en el artículo 302 del Acuerdo General del Pleno del Consejo de la Judicatura Federal, que establece las disposiciones en materia de actividad administrativa del propio Consejo, los documentos de la empresa por adjudicar debidamente cotejados,  serán remitidos a la Dirección General de Asuntos Jurídicos para la elaboración del dictamen correspondiente, dentro de los tres días posteriores a la recepción de la totalidad de los mismos.</w:t>
            </w:r>
          </w:p>
        </w:tc>
      </w:tr>
    </w:tbl>
    <w:p w:rsidR="00670E5E" w:rsidRPr="00033C58" w:rsidRDefault="00670E5E" w:rsidP="006E7DF9">
      <w:pPr>
        <w:spacing w:after="0" w:line="240" w:lineRule="auto"/>
        <w:rPr>
          <w:rFonts w:cstheme="minorHAnsi"/>
          <w:b/>
          <w:szCs w:val="6"/>
        </w:rPr>
      </w:pPr>
    </w:p>
    <w:p w:rsidR="00670E5E" w:rsidRDefault="00670E5E" w:rsidP="00B47175">
      <w:pPr>
        <w:pStyle w:val="Prrafodelista"/>
        <w:numPr>
          <w:ilvl w:val="0"/>
          <w:numId w:val="3"/>
        </w:numPr>
        <w:spacing w:after="0"/>
        <w:ind w:right="20"/>
        <w:jc w:val="both"/>
        <w:rPr>
          <w:rFonts w:cstheme="minorHAnsi"/>
          <w:b/>
        </w:rPr>
      </w:pPr>
      <w:r w:rsidRPr="008A70B7">
        <w:rPr>
          <w:rFonts w:cstheme="minorHAnsi"/>
          <w:b/>
        </w:rPr>
        <w:t>Dictamen Resolutivo Técnico</w:t>
      </w:r>
    </w:p>
    <w:tbl>
      <w:tblPr>
        <w:tblStyle w:val="Tablaconcuadrcula"/>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Look w:val="04A0" w:firstRow="1" w:lastRow="0" w:firstColumn="1" w:lastColumn="0" w:noHBand="0" w:noVBand="1"/>
      </w:tblPr>
      <w:tblGrid>
        <w:gridCol w:w="9828"/>
      </w:tblGrid>
      <w:tr w:rsidR="00670E5E" w:rsidRPr="00B66164" w:rsidTr="001C280F">
        <w:trPr>
          <w:trHeight w:val="1527"/>
        </w:trPr>
        <w:tc>
          <w:tcPr>
            <w:tcW w:w="9828" w:type="dxa"/>
          </w:tcPr>
          <w:p w:rsidR="00670E5E" w:rsidRPr="001C280F" w:rsidRDefault="00670E5E" w:rsidP="001C280F">
            <w:pPr>
              <w:pStyle w:val="Sinespaciado"/>
              <w:ind w:firstLine="284"/>
              <w:rPr>
                <w:rFonts w:cstheme="minorHAnsi"/>
                <w:b/>
              </w:rPr>
            </w:pPr>
            <w:r w:rsidRPr="001C280F">
              <w:rPr>
                <w:rFonts w:cstheme="minorHAnsi"/>
                <w:b/>
              </w:rPr>
              <w:t>1. Emisión</w:t>
            </w:r>
          </w:p>
          <w:p w:rsidR="00670E5E" w:rsidRPr="00F52C35" w:rsidRDefault="00670E5E" w:rsidP="001C280F">
            <w:pPr>
              <w:pStyle w:val="Sinespaciado"/>
              <w:rPr>
                <w:rFonts w:cstheme="minorHAnsi"/>
                <w:sz w:val="14"/>
              </w:rPr>
            </w:pPr>
          </w:p>
          <w:p w:rsidR="00670E5E" w:rsidRPr="001C280F" w:rsidRDefault="00670E5E" w:rsidP="00152CA8">
            <w:pPr>
              <w:pStyle w:val="Sinespaciado"/>
              <w:jc w:val="both"/>
              <w:rPr>
                <w:rFonts w:cstheme="minorHAnsi"/>
              </w:rPr>
            </w:pPr>
            <w:r w:rsidRPr="001C280F">
              <w:rPr>
                <w:rFonts w:cstheme="minorHAnsi"/>
              </w:rPr>
              <w:t>La Dirección General de Inmuebles y Mantenimiento de conformidad con lo dispuesto en el artículo 304 del Acuerdo General del Pleno del Consejo de la Judicatura Federal, que establece las disposiciones en materia de actividad administrativa del propio Consejo, emitió el Dictamen Resolutivo Técnico de fecha</w:t>
            </w:r>
            <w:r>
              <w:rPr>
                <w:rFonts w:cstheme="minorHAnsi"/>
              </w:rPr>
              <w:t xml:space="preserve"> 14 de abril de 2016 </w:t>
            </w:r>
            <w:r w:rsidRPr="001C280F">
              <w:rPr>
                <w:rFonts w:cstheme="minorHAnsi"/>
              </w:rPr>
              <w:t xml:space="preserve">elaborado conforme al Memorándum de autorización número DPC/0260/2016 de fecha 29 de febrero de 2016, por el Ingeniero Arquitecto </w:t>
            </w:r>
            <w:r w:rsidRPr="00710CC2">
              <w:rPr>
                <w:rFonts w:cstheme="minorHAnsi"/>
                <w:noProof/>
                <w:color w:val="0000FF"/>
              </w:rPr>
              <w:t>Jorge Octavio Méndez Flores</w:t>
            </w:r>
            <w:r w:rsidRPr="001C280F">
              <w:rPr>
                <w:rFonts w:cstheme="minorHAnsi"/>
                <w:color w:val="0000FF"/>
              </w:rPr>
              <w:t>,</w:t>
            </w:r>
            <w:r w:rsidRPr="001C280F">
              <w:rPr>
                <w:rFonts w:cstheme="minorHAnsi"/>
              </w:rPr>
              <w:t xml:space="preserve"> con nombramiento de Subdirector de Área, revisado por la Arquitecta Rosario Domínguez Borjas, Subdirectora de Concursos y autorizado por el Licenciado José Alejandro Mc Naught Salguero, Director de Presupuestos y Concursos. </w:t>
            </w:r>
          </w:p>
        </w:tc>
      </w:tr>
      <w:tr w:rsidR="00670E5E" w:rsidRPr="00B66164" w:rsidTr="00975E9D">
        <w:trPr>
          <w:trHeight w:val="3899"/>
        </w:trPr>
        <w:tc>
          <w:tcPr>
            <w:tcW w:w="9828" w:type="dxa"/>
          </w:tcPr>
          <w:p w:rsidR="00670E5E" w:rsidRPr="006879DA" w:rsidRDefault="00670E5E" w:rsidP="006D29B8">
            <w:pPr>
              <w:pStyle w:val="Sinespaciado"/>
              <w:jc w:val="both"/>
              <w:rPr>
                <w:rFonts w:asciiTheme="minorHAnsi" w:hAnsiTheme="minorHAnsi" w:cstheme="minorHAnsi"/>
              </w:rPr>
            </w:pPr>
          </w:p>
          <w:p w:rsidR="00670E5E" w:rsidRDefault="00670E5E" w:rsidP="006D29B8">
            <w:pPr>
              <w:pStyle w:val="Sinespaciado"/>
              <w:jc w:val="both"/>
              <w:rPr>
                <w:rFonts w:asciiTheme="minorHAnsi" w:hAnsiTheme="minorHAnsi" w:cstheme="minorHAnsi"/>
              </w:rPr>
            </w:pPr>
            <w:r w:rsidRPr="00396C89">
              <w:rPr>
                <w:rFonts w:asciiTheme="minorHAnsi" w:hAnsiTheme="minorHAnsi" w:cstheme="minorHAnsi"/>
              </w:rPr>
              <w:t>Derivado de la revisión y evaluación documental realizada por la Dirección General de Inmuebles y Mantenimiento, a las propuestas técnicas del presente procedimiento, se concluye que de acuerdo a los requisitos exigidos en los numerales del 7, 7.4, 7.4.1, 7.4.2, 7.4.3, 7.4.4, 7.4.5, 7.4.6 y 7.4.7, y los criterios de evaluación indicados en los numerales  8, 8.3 y 8.3.1 de las Bases del Procedimiento:</w:t>
            </w:r>
          </w:p>
          <w:p w:rsidR="00670E5E" w:rsidRPr="00292706" w:rsidRDefault="00670E5E" w:rsidP="006D29B8">
            <w:pPr>
              <w:jc w:val="both"/>
              <w:rPr>
                <w:rFonts w:ascii="Arial" w:hAnsi="Arial" w:cs="Arial"/>
                <w:szCs w:val="18"/>
              </w:rPr>
            </w:pPr>
          </w:p>
          <w:p w:rsidR="00670E5E" w:rsidRPr="00292706" w:rsidRDefault="00670E5E" w:rsidP="00396C89">
            <w:pPr>
              <w:jc w:val="both"/>
              <w:rPr>
                <w:rFonts w:ascii="Arial" w:hAnsi="Arial" w:cs="Arial"/>
                <w:b/>
                <w:i/>
                <w:szCs w:val="18"/>
                <w:u w:val="single"/>
              </w:rPr>
            </w:pPr>
            <w:r w:rsidRPr="00292706">
              <w:rPr>
                <w:rFonts w:cstheme="minorHAnsi"/>
                <w:b/>
                <w:i/>
                <w:u w:val="single"/>
              </w:rPr>
              <w:t>Resultan</w:t>
            </w:r>
            <w:r w:rsidRPr="00292706">
              <w:rPr>
                <w:rFonts w:ascii="Arial" w:hAnsi="Arial" w:cs="Arial"/>
                <w:b/>
                <w:i/>
                <w:szCs w:val="18"/>
                <w:u w:val="single"/>
              </w:rPr>
              <w:t xml:space="preserve"> NO </w:t>
            </w:r>
            <w:r w:rsidRPr="00292706">
              <w:rPr>
                <w:rFonts w:cstheme="minorHAnsi"/>
                <w:b/>
                <w:i/>
                <w:u w:val="single"/>
              </w:rPr>
              <w:t>SOLVENTES</w:t>
            </w:r>
            <w:r w:rsidRPr="00292706">
              <w:rPr>
                <w:rFonts w:ascii="Arial" w:hAnsi="Arial" w:cs="Arial"/>
                <w:b/>
                <w:i/>
                <w:szCs w:val="18"/>
                <w:u w:val="single"/>
              </w:rPr>
              <w:t xml:space="preserve"> </w:t>
            </w:r>
            <w:r w:rsidRPr="00292706">
              <w:rPr>
                <w:rFonts w:cstheme="minorHAnsi"/>
                <w:b/>
                <w:i/>
                <w:u w:val="single"/>
              </w:rPr>
              <w:t>las propuestas técnicas de las siguientes empresas</w:t>
            </w:r>
            <w:r w:rsidRPr="00292706">
              <w:rPr>
                <w:rFonts w:ascii="Arial" w:hAnsi="Arial" w:cs="Arial"/>
                <w:b/>
                <w:i/>
                <w:szCs w:val="18"/>
                <w:u w:val="single"/>
              </w:rPr>
              <w:t>:</w:t>
            </w:r>
          </w:p>
          <w:p w:rsidR="00670E5E" w:rsidRPr="00292706" w:rsidRDefault="00670E5E" w:rsidP="006D29B8">
            <w:pPr>
              <w:jc w:val="both"/>
              <w:rPr>
                <w:rFonts w:ascii="Arial" w:hAnsi="Arial" w:cs="Arial"/>
                <w:sz w:val="14"/>
                <w:szCs w:val="18"/>
              </w:rPr>
            </w:pPr>
          </w:p>
          <w:p w:rsidR="00670E5E" w:rsidRDefault="00670E5E" w:rsidP="00396C89">
            <w:pPr>
              <w:tabs>
                <w:tab w:val="left" w:pos="34"/>
              </w:tabs>
              <w:rPr>
                <w:rFonts w:cstheme="minorHAnsi"/>
                <w:b/>
                <w:i/>
                <w:snapToGrid w:val="0"/>
                <w:lang w:val="en-US"/>
              </w:rPr>
            </w:pPr>
            <w:r w:rsidRPr="002C0E6F">
              <w:rPr>
                <w:rFonts w:cstheme="minorHAnsi"/>
                <w:b/>
                <w:i/>
                <w:snapToGrid w:val="0"/>
                <w:lang w:val="en-US"/>
              </w:rPr>
              <w:t>DIAMOND AIR, S.A. DE C.V.</w:t>
            </w:r>
          </w:p>
          <w:p w:rsidR="00670E5E" w:rsidRPr="002C0E6F" w:rsidRDefault="00670E5E" w:rsidP="00396C89">
            <w:pPr>
              <w:tabs>
                <w:tab w:val="left" w:pos="34"/>
              </w:tabs>
              <w:rPr>
                <w:rFonts w:cstheme="minorHAnsi"/>
                <w:b/>
                <w:i/>
                <w:snapToGrid w:val="0"/>
                <w:lang w:val="en-US"/>
              </w:rPr>
            </w:pPr>
            <w:r w:rsidRPr="002C0E6F">
              <w:rPr>
                <w:rFonts w:cstheme="minorHAnsi"/>
                <w:b/>
                <w:i/>
                <w:snapToGrid w:val="0"/>
                <w:lang w:val="en-US"/>
              </w:rPr>
              <w:t>OPEN SOLUTIONS INFORMATION TECHNOLOGIES, S.A. DE C.V.</w:t>
            </w:r>
          </w:p>
          <w:p w:rsidR="00670E5E" w:rsidRPr="00292706" w:rsidRDefault="00670E5E" w:rsidP="00396C89">
            <w:pPr>
              <w:tabs>
                <w:tab w:val="left" w:pos="317"/>
              </w:tabs>
              <w:rPr>
                <w:b/>
                <w:i/>
              </w:rPr>
            </w:pPr>
            <w:r w:rsidRPr="007B5F48">
              <w:rPr>
                <w:b/>
              </w:rPr>
              <w:t>PROSER EMPRESARIAL, S.A. DE C.V.</w:t>
            </w:r>
          </w:p>
          <w:p w:rsidR="00670E5E" w:rsidRPr="002C0E6F" w:rsidRDefault="00670E5E" w:rsidP="00396C89">
            <w:pPr>
              <w:tabs>
                <w:tab w:val="left" w:pos="317"/>
              </w:tabs>
              <w:rPr>
                <w:rFonts w:cstheme="minorHAnsi"/>
                <w:b/>
                <w:i/>
                <w:snapToGrid w:val="0"/>
                <w:lang w:val="es-ES_tradnl"/>
              </w:rPr>
            </w:pPr>
          </w:p>
          <w:p w:rsidR="00670E5E" w:rsidRPr="002C0E6F" w:rsidRDefault="00670E5E" w:rsidP="006D29B8">
            <w:pPr>
              <w:jc w:val="both"/>
              <w:rPr>
                <w:rFonts w:ascii="Arial" w:hAnsi="Arial" w:cs="Arial"/>
                <w:b/>
                <w:i/>
                <w:szCs w:val="18"/>
                <w:u w:val="single"/>
              </w:rPr>
            </w:pPr>
            <w:r w:rsidRPr="002C0E6F">
              <w:rPr>
                <w:rFonts w:cstheme="minorHAnsi"/>
                <w:b/>
                <w:i/>
                <w:u w:val="single"/>
              </w:rPr>
              <w:t>Resulta</w:t>
            </w:r>
            <w:r w:rsidRPr="002C0E6F">
              <w:rPr>
                <w:rFonts w:ascii="Arial" w:hAnsi="Arial" w:cs="Arial"/>
                <w:b/>
                <w:i/>
                <w:szCs w:val="18"/>
                <w:u w:val="single"/>
              </w:rPr>
              <w:t xml:space="preserve"> </w:t>
            </w:r>
            <w:r w:rsidRPr="002C0E6F">
              <w:rPr>
                <w:rFonts w:cstheme="minorHAnsi"/>
                <w:b/>
                <w:i/>
                <w:u w:val="single"/>
              </w:rPr>
              <w:t>SOLVENTE</w:t>
            </w:r>
            <w:r w:rsidRPr="002C0E6F">
              <w:rPr>
                <w:rFonts w:ascii="Arial" w:hAnsi="Arial" w:cs="Arial"/>
                <w:b/>
                <w:i/>
                <w:szCs w:val="18"/>
                <w:u w:val="single"/>
              </w:rPr>
              <w:t xml:space="preserve"> </w:t>
            </w:r>
            <w:r w:rsidRPr="002C0E6F">
              <w:rPr>
                <w:rFonts w:cstheme="minorHAnsi"/>
                <w:b/>
                <w:i/>
                <w:u w:val="single"/>
              </w:rPr>
              <w:t>la propuesta técnica de la siguiente empresa</w:t>
            </w:r>
            <w:r w:rsidRPr="002C0E6F">
              <w:rPr>
                <w:rFonts w:ascii="Arial" w:hAnsi="Arial" w:cs="Arial"/>
                <w:b/>
                <w:i/>
                <w:szCs w:val="18"/>
                <w:u w:val="single"/>
              </w:rPr>
              <w:t>:</w:t>
            </w:r>
          </w:p>
          <w:p w:rsidR="00670E5E" w:rsidRPr="002C0E6F" w:rsidRDefault="00670E5E" w:rsidP="006D29B8">
            <w:pPr>
              <w:jc w:val="both"/>
              <w:rPr>
                <w:rFonts w:ascii="Arial" w:hAnsi="Arial" w:cs="Arial"/>
                <w:b/>
                <w:i/>
                <w:sz w:val="14"/>
                <w:szCs w:val="18"/>
                <w:u w:val="single"/>
              </w:rPr>
            </w:pPr>
          </w:p>
          <w:p w:rsidR="00670E5E" w:rsidRPr="0083430C" w:rsidRDefault="00670E5E" w:rsidP="00975E9D">
            <w:pPr>
              <w:tabs>
                <w:tab w:val="left" w:pos="284"/>
              </w:tabs>
              <w:spacing w:line="360" w:lineRule="auto"/>
              <w:jc w:val="both"/>
              <w:rPr>
                <w:rFonts w:cstheme="minorHAnsi"/>
              </w:rPr>
            </w:pPr>
            <w:r w:rsidRPr="002C0E6F">
              <w:rPr>
                <w:rFonts w:ascii="Arial" w:eastAsia="Times New Roman" w:hAnsi="Arial" w:cs="Arial"/>
                <w:b/>
                <w:i/>
                <w:sz w:val="18"/>
                <w:szCs w:val="18"/>
                <w:lang w:val="es-ES_tradnl" w:eastAsia="es-ES"/>
              </w:rPr>
              <w:t xml:space="preserve">SISTEMAS AVANZADOS EN COMPUTACIÓN DE MÉXICO, S.A. DE C.V.                                                      </w:t>
            </w:r>
            <w:r w:rsidRPr="002C0E6F">
              <w:rPr>
                <w:rFonts w:cstheme="minorHAnsi"/>
                <w:b/>
                <w:snapToGrid w:val="0"/>
                <w:lang w:val="es-ES_tradnl"/>
              </w:rPr>
              <w:t>(Anexo 9)</w:t>
            </w:r>
          </w:p>
        </w:tc>
      </w:tr>
    </w:tbl>
    <w:p w:rsidR="00670E5E" w:rsidRPr="00800F5D" w:rsidRDefault="00670E5E" w:rsidP="00FD5071">
      <w:pPr>
        <w:spacing w:after="0"/>
        <w:rPr>
          <w:rFonts w:cstheme="minorHAnsi"/>
          <w:b/>
        </w:rPr>
      </w:pPr>
    </w:p>
    <w:p w:rsidR="00670E5E" w:rsidRDefault="00670E5E" w:rsidP="00B47175">
      <w:pPr>
        <w:pStyle w:val="Prrafodelista"/>
        <w:numPr>
          <w:ilvl w:val="0"/>
          <w:numId w:val="3"/>
        </w:numPr>
        <w:spacing w:after="0"/>
        <w:ind w:right="20"/>
        <w:jc w:val="both"/>
        <w:rPr>
          <w:rFonts w:cstheme="minorHAnsi"/>
          <w:b/>
        </w:rPr>
      </w:pPr>
      <w:r w:rsidRPr="00AD2E1F">
        <w:rPr>
          <w:rFonts w:cstheme="minorHAnsi"/>
          <w:b/>
        </w:rPr>
        <w:t>Dictamen Resolutivo Económico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670E5E" w:rsidRPr="006A0463" w:rsidTr="00975E9D">
        <w:trPr>
          <w:trHeight w:val="1282"/>
        </w:trPr>
        <w:tc>
          <w:tcPr>
            <w:tcW w:w="9828" w:type="dxa"/>
          </w:tcPr>
          <w:p w:rsidR="00670E5E" w:rsidRPr="00D4698F" w:rsidRDefault="00670E5E" w:rsidP="00AA3A0A">
            <w:pPr>
              <w:ind w:right="20" w:firstLine="426"/>
              <w:jc w:val="both"/>
              <w:rPr>
                <w:rFonts w:cstheme="minorHAnsi"/>
                <w:b/>
              </w:rPr>
            </w:pPr>
            <w:r w:rsidRPr="00D4698F">
              <w:rPr>
                <w:rFonts w:cstheme="minorHAnsi"/>
                <w:b/>
              </w:rPr>
              <w:t>1. Emisión</w:t>
            </w:r>
          </w:p>
          <w:p w:rsidR="00670E5E" w:rsidRPr="001C280F" w:rsidRDefault="00670E5E" w:rsidP="00866F19">
            <w:pPr>
              <w:ind w:right="20"/>
              <w:jc w:val="both"/>
              <w:rPr>
                <w:rFonts w:cstheme="minorHAnsi"/>
                <w:b/>
              </w:rPr>
            </w:pPr>
          </w:p>
          <w:p w:rsidR="00670E5E" w:rsidRPr="006D29B8" w:rsidRDefault="00670E5E" w:rsidP="007803B8">
            <w:pPr>
              <w:pStyle w:val="Sinespaciado"/>
              <w:jc w:val="both"/>
              <w:rPr>
                <w:rFonts w:asciiTheme="minorHAnsi" w:hAnsiTheme="minorHAnsi" w:cstheme="minorHAnsi"/>
              </w:rPr>
            </w:pPr>
            <w:r w:rsidRPr="006D29B8">
              <w:rPr>
                <w:rFonts w:asciiTheme="minorHAnsi" w:hAnsiTheme="minorHAnsi" w:cstheme="minorHAnsi"/>
              </w:rPr>
              <w:t>La Dirección General de Inmuebles y Mantenimiento de conformidad con</w:t>
            </w:r>
            <w:r>
              <w:rPr>
                <w:rFonts w:asciiTheme="minorHAnsi" w:hAnsiTheme="minorHAnsi" w:cstheme="minorHAnsi"/>
              </w:rPr>
              <w:t xml:space="preserve"> lo dispuesto en el artículo 305</w:t>
            </w:r>
            <w:r w:rsidRPr="006D29B8">
              <w:rPr>
                <w:rFonts w:asciiTheme="minorHAnsi" w:hAnsiTheme="minorHAnsi" w:cstheme="minorHAnsi"/>
              </w:rPr>
              <w:t xml:space="preserve"> del Acuerdo General del Pleno del Consejo de la Judicatura Federal, que establece las disposiciones en materia de actividad administrativa del propio Consejo, emitió el Dictamen Resolutivo </w:t>
            </w:r>
            <w:r>
              <w:rPr>
                <w:rFonts w:asciiTheme="minorHAnsi" w:hAnsiTheme="minorHAnsi" w:cstheme="minorHAnsi"/>
              </w:rPr>
              <w:t>Económico</w:t>
            </w:r>
            <w:r w:rsidRPr="006D29B8">
              <w:rPr>
                <w:rFonts w:asciiTheme="minorHAnsi" w:hAnsiTheme="minorHAnsi" w:cstheme="minorHAnsi"/>
              </w:rPr>
              <w:t xml:space="preserve"> de</w:t>
            </w:r>
            <w:r>
              <w:rPr>
                <w:rFonts w:asciiTheme="minorHAnsi" w:hAnsiTheme="minorHAnsi" w:cstheme="minorHAnsi"/>
              </w:rPr>
              <w:t xml:space="preserve"> fecha 15 de abril de 2016</w:t>
            </w:r>
            <w:r>
              <w:rPr>
                <w:rFonts w:asciiTheme="minorHAnsi" w:hAnsiTheme="minorHAnsi" w:cstheme="minorHAnsi"/>
                <w:color w:val="0000FF"/>
              </w:rPr>
              <w:t xml:space="preserve">, </w:t>
            </w:r>
            <w:r w:rsidRPr="00396C89">
              <w:rPr>
                <w:rFonts w:asciiTheme="minorHAnsi" w:hAnsiTheme="minorHAnsi" w:cstheme="minorHAnsi"/>
              </w:rPr>
              <w:t xml:space="preserve">elaborado conforme al Memorándum de autorización número DPC/0260/2016 de fecha 29 de febrero de 2016, por el Ingeniero Arquitecto </w:t>
            </w:r>
            <w:r w:rsidRPr="00B21FCF">
              <w:rPr>
                <w:rFonts w:cstheme="minorHAnsi"/>
                <w:noProof/>
                <w:color w:val="0000FF"/>
              </w:rPr>
              <w:t>Jorge Octavio Méndez Flores</w:t>
            </w:r>
            <w:r>
              <w:rPr>
                <w:rFonts w:asciiTheme="minorHAnsi" w:hAnsiTheme="minorHAnsi" w:cstheme="minorHAnsi"/>
              </w:rPr>
              <w:t xml:space="preserve">, </w:t>
            </w:r>
            <w:r w:rsidRPr="006D29B8">
              <w:rPr>
                <w:rFonts w:asciiTheme="minorHAnsi" w:hAnsiTheme="minorHAnsi" w:cstheme="minorHAnsi"/>
              </w:rPr>
              <w:t xml:space="preserve">con nombramiento de </w:t>
            </w:r>
            <w:r>
              <w:rPr>
                <w:rFonts w:asciiTheme="minorHAnsi" w:hAnsiTheme="minorHAnsi" w:cstheme="minorHAnsi"/>
              </w:rPr>
              <w:t>Subdirector de Área</w:t>
            </w:r>
            <w:r w:rsidRPr="006D29B8">
              <w:rPr>
                <w:rFonts w:asciiTheme="minorHAnsi" w:hAnsiTheme="minorHAnsi" w:cstheme="minorHAnsi"/>
              </w:rPr>
              <w:t xml:space="preserve">, revisado por </w:t>
            </w:r>
            <w:r>
              <w:rPr>
                <w:rFonts w:asciiTheme="minorHAnsi" w:hAnsiTheme="minorHAnsi" w:cstheme="minorHAnsi"/>
              </w:rPr>
              <w:t xml:space="preserve">la Arquitecta Rosario </w:t>
            </w:r>
            <w:r w:rsidRPr="007803B8">
              <w:rPr>
                <w:rFonts w:asciiTheme="minorHAnsi" w:hAnsiTheme="minorHAnsi" w:cstheme="minorHAnsi"/>
              </w:rPr>
              <w:t xml:space="preserve">Domínguez Borjas, Subdirectora de Concursos y </w:t>
            </w:r>
            <w:r w:rsidRPr="007803B8">
              <w:rPr>
                <w:rFonts w:asciiTheme="minorHAnsi" w:hAnsiTheme="minorHAnsi" w:cstheme="minorHAnsi"/>
              </w:rPr>
              <w:lastRenderedPageBreak/>
              <w:t>autorizado por el Licenciado José Alejandro Mc Naught Salguero, Director de Presupuestos y Concursos</w:t>
            </w:r>
            <w:r w:rsidRPr="006D29B8">
              <w:rPr>
                <w:rFonts w:asciiTheme="minorHAnsi" w:hAnsiTheme="minorHAnsi" w:cstheme="minorHAnsi"/>
              </w:rPr>
              <w:t xml:space="preserve">. </w:t>
            </w:r>
          </w:p>
          <w:p w:rsidR="00670E5E" w:rsidRPr="001C280F" w:rsidRDefault="00670E5E" w:rsidP="00866F19">
            <w:pPr>
              <w:ind w:right="20"/>
              <w:jc w:val="both"/>
              <w:rPr>
                <w:rFonts w:cstheme="minorHAnsi"/>
                <w:sz w:val="24"/>
              </w:rPr>
            </w:pPr>
          </w:p>
          <w:p w:rsidR="00670E5E" w:rsidRPr="0012629A" w:rsidRDefault="00670E5E" w:rsidP="007F4C10">
            <w:pPr>
              <w:jc w:val="both"/>
              <w:rPr>
                <w:rFonts w:cstheme="minorHAnsi"/>
                <w:i/>
                <w:lang w:val="es-ES"/>
              </w:rPr>
            </w:pPr>
            <w:r w:rsidRPr="0012629A">
              <w:rPr>
                <w:rFonts w:cstheme="minorHAnsi"/>
                <w:i/>
                <w:lang w:val="es-ES"/>
              </w:rPr>
              <w:t>Derivado de la revisión y evaluación documental realizada por la Dirección General de Inmuebles y Mantenimiento, a las propuestas económicas del presente procedimiento, se concluye que de acuerdo a los requisitos exigidos en los numerales del 7, 7.5, 7.5.1, 7.5.2, 7.5.3, 7.5.4, 7.5.5 y 7.5.6 de las Bases del Procedimiento y los criterios de evaluación indicados en los numerales 8, 8.4 y 8.4.1 de las Bases del Procedimiento:</w:t>
            </w:r>
          </w:p>
          <w:p w:rsidR="00670E5E" w:rsidRPr="001C280F" w:rsidRDefault="00670E5E" w:rsidP="00D4698F">
            <w:pPr>
              <w:jc w:val="both"/>
              <w:rPr>
                <w:rFonts w:cstheme="minorHAnsi"/>
                <w:b/>
                <w:i/>
                <w:sz w:val="24"/>
                <w:highlight w:val="yellow"/>
                <w:u w:val="single"/>
              </w:rPr>
            </w:pPr>
          </w:p>
          <w:p w:rsidR="00670E5E" w:rsidRPr="00071FB8" w:rsidRDefault="00670E5E" w:rsidP="00D4698F">
            <w:pPr>
              <w:jc w:val="both"/>
              <w:rPr>
                <w:rFonts w:ascii="Arial" w:hAnsi="Arial" w:cs="Arial"/>
                <w:b/>
                <w:i/>
                <w:szCs w:val="18"/>
                <w:u w:val="single"/>
              </w:rPr>
            </w:pPr>
            <w:r w:rsidRPr="00071FB8">
              <w:rPr>
                <w:rFonts w:cstheme="minorHAnsi"/>
                <w:b/>
                <w:i/>
                <w:u w:val="single"/>
              </w:rPr>
              <w:t>Resulta</w:t>
            </w:r>
            <w:r w:rsidRPr="00071FB8">
              <w:rPr>
                <w:rFonts w:ascii="Arial" w:hAnsi="Arial" w:cs="Arial"/>
                <w:b/>
                <w:i/>
                <w:szCs w:val="18"/>
                <w:u w:val="single"/>
              </w:rPr>
              <w:t xml:space="preserve"> </w:t>
            </w:r>
            <w:r w:rsidRPr="00071FB8">
              <w:rPr>
                <w:rFonts w:cstheme="minorHAnsi"/>
                <w:b/>
                <w:i/>
                <w:u w:val="single"/>
              </w:rPr>
              <w:t>SOLVENTE</w:t>
            </w:r>
            <w:r w:rsidRPr="00071FB8">
              <w:rPr>
                <w:rFonts w:ascii="Arial" w:hAnsi="Arial" w:cs="Arial"/>
                <w:b/>
                <w:i/>
                <w:szCs w:val="18"/>
                <w:u w:val="single"/>
              </w:rPr>
              <w:t xml:space="preserve"> </w:t>
            </w:r>
            <w:r w:rsidRPr="00071FB8">
              <w:rPr>
                <w:rFonts w:cstheme="minorHAnsi"/>
                <w:b/>
                <w:i/>
                <w:u w:val="single"/>
              </w:rPr>
              <w:t>la propuesta económica de la siguiente empresa</w:t>
            </w:r>
            <w:r w:rsidRPr="00071FB8">
              <w:rPr>
                <w:rFonts w:ascii="Arial" w:hAnsi="Arial" w:cs="Arial"/>
                <w:b/>
                <w:i/>
                <w:szCs w:val="18"/>
                <w:u w:val="single"/>
              </w:rPr>
              <w:t>:</w:t>
            </w:r>
          </w:p>
          <w:p w:rsidR="00670E5E" w:rsidRPr="00071FB8" w:rsidRDefault="00670E5E" w:rsidP="00D4698F">
            <w:pPr>
              <w:jc w:val="both"/>
              <w:rPr>
                <w:rFonts w:ascii="Arial" w:hAnsi="Arial" w:cs="Arial"/>
                <w:b/>
                <w:i/>
                <w:sz w:val="14"/>
                <w:szCs w:val="18"/>
                <w:u w:val="single"/>
              </w:rPr>
            </w:pPr>
          </w:p>
          <w:p w:rsidR="00670E5E" w:rsidRPr="00071FB8" w:rsidRDefault="00670E5E" w:rsidP="007F4C10">
            <w:pPr>
              <w:jc w:val="both"/>
              <w:rPr>
                <w:rFonts w:ascii="Arial" w:eastAsia="Times New Roman" w:hAnsi="Arial" w:cs="Arial"/>
                <w:b/>
                <w:i/>
                <w:sz w:val="18"/>
                <w:szCs w:val="18"/>
                <w:lang w:val="es-ES_tradnl" w:eastAsia="es-ES"/>
              </w:rPr>
            </w:pPr>
            <w:r w:rsidRPr="00071FB8">
              <w:rPr>
                <w:rFonts w:ascii="Arial" w:eastAsia="Times New Roman" w:hAnsi="Arial" w:cs="Arial"/>
                <w:b/>
                <w:i/>
                <w:sz w:val="18"/>
                <w:szCs w:val="18"/>
                <w:lang w:val="es-ES_tradnl" w:eastAsia="es-ES"/>
              </w:rPr>
              <w:t>SISTEMAS AVANZADOS EN COMPUTACIÓN DE MÉXICO, S.A. DE C.V.</w:t>
            </w:r>
          </w:p>
          <w:p w:rsidR="00670E5E" w:rsidRPr="00D4698F" w:rsidRDefault="00670E5E" w:rsidP="00396C89">
            <w:pPr>
              <w:tabs>
                <w:tab w:val="left" w:pos="284"/>
              </w:tabs>
              <w:spacing w:line="360" w:lineRule="auto"/>
              <w:jc w:val="right"/>
              <w:rPr>
                <w:rFonts w:cstheme="minorHAnsi"/>
                <w:b/>
              </w:rPr>
            </w:pPr>
            <w:r w:rsidRPr="00D4698F">
              <w:rPr>
                <w:rFonts w:cstheme="minorHAnsi"/>
                <w:b/>
                <w:snapToGrid w:val="0"/>
                <w:lang w:val="es-ES_tradnl"/>
              </w:rPr>
              <w:t xml:space="preserve"> (Anexo 10)</w:t>
            </w:r>
          </w:p>
        </w:tc>
      </w:tr>
    </w:tbl>
    <w:p w:rsidR="00670E5E" w:rsidRPr="00975E9D" w:rsidRDefault="00670E5E" w:rsidP="00975E9D">
      <w:pPr>
        <w:spacing w:after="0" w:line="240" w:lineRule="auto"/>
        <w:rPr>
          <w:rFonts w:cstheme="minorHAnsi"/>
          <w:i/>
          <w:szCs w:val="20"/>
        </w:rPr>
      </w:pPr>
    </w:p>
    <w:p w:rsidR="00670E5E" w:rsidRDefault="00670E5E" w:rsidP="00B47175">
      <w:pPr>
        <w:pStyle w:val="Prrafodelista"/>
        <w:numPr>
          <w:ilvl w:val="0"/>
          <w:numId w:val="4"/>
        </w:numPr>
        <w:spacing w:after="0" w:line="240" w:lineRule="auto"/>
        <w:ind w:left="284" w:hanging="284"/>
        <w:jc w:val="both"/>
        <w:rPr>
          <w:rFonts w:cstheme="minorHAnsi"/>
          <w:b/>
        </w:rPr>
      </w:pPr>
      <w:r w:rsidRPr="00783627">
        <w:rPr>
          <w:rFonts w:cstheme="minorHAnsi"/>
          <w:b/>
        </w:rPr>
        <w:t xml:space="preserve">Resultado de la </w:t>
      </w:r>
      <w:proofErr w:type="spellStart"/>
      <w:r w:rsidRPr="00783627">
        <w:rPr>
          <w:rFonts w:cstheme="minorHAnsi"/>
          <w:b/>
        </w:rPr>
        <w:t>Dictaminación</w:t>
      </w:r>
      <w:proofErr w:type="spellEnd"/>
    </w:p>
    <w:tbl>
      <w:tblPr>
        <w:tblStyle w:val="Tablaconcuadrcula"/>
        <w:tblW w:w="9781" w:type="dxa"/>
        <w:tblInd w:w="-34"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shd w:val="clear" w:color="auto" w:fill="FFFFFF" w:themeFill="background1"/>
        <w:tblLayout w:type="fixed"/>
        <w:tblLook w:val="04A0" w:firstRow="1" w:lastRow="0" w:firstColumn="1" w:lastColumn="0" w:noHBand="0" w:noVBand="1"/>
      </w:tblPr>
      <w:tblGrid>
        <w:gridCol w:w="3970"/>
        <w:gridCol w:w="1275"/>
        <w:gridCol w:w="851"/>
        <w:gridCol w:w="850"/>
        <w:gridCol w:w="851"/>
        <w:gridCol w:w="992"/>
        <w:gridCol w:w="992"/>
      </w:tblGrid>
      <w:tr w:rsidR="00670E5E" w:rsidRPr="00783627" w:rsidTr="00C83B06">
        <w:trPr>
          <w:trHeight w:val="280"/>
        </w:trPr>
        <w:tc>
          <w:tcPr>
            <w:tcW w:w="3970" w:type="dxa"/>
            <w:vMerge w:val="restart"/>
            <w:shd w:val="clear" w:color="auto" w:fill="F2F2F2" w:themeFill="background1" w:themeFillShade="F2"/>
            <w:vAlign w:val="center"/>
          </w:tcPr>
          <w:p w:rsidR="00670E5E" w:rsidRPr="00783627" w:rsidRDefault="00670E5E" w:rsidP="00A375CD">
            <w:pPr>
              <w:ind w:right="20"/>
              <w:jc w:val="center"/>
              <w:rPr>
                <w:rFonts w:cstheme="minorHAnsi"/>
                <w:b/>
                <w:sz w:val="19"/>
                <w:szCs w:val="19"/>
              </w:rPr>
            </w:pPr>
            <w:r w:rsidRPr="00783627">
              <w:rPr>
                <w:rFonts w:cstheme="minorHAnsi"/>
                <w:b/>
                <w:sz w:val="19"/>
                <w:szCs w:val="19"/>
              </w:rPr>
              <w:t>EMPRESAS PARTICIPANTES</w:t>
            </w:r>
          </w:p>
        </w:tc>
        <w:tc>
          <w:tcPr>
            <w:tcW w:w="1275" w:type="dxa"/>
            <w:vMerge w:val="restart"/>
            <w:shd w:val="clear" w:color="auto" w:fill="F2F2F2" w:themeFill="background1" w:themeFillShade="F2"/>
            <w:vAlign w:val="center"/>
          </w:tcPr>
          <w:p w:rsidR="00670E5E" w:rsidRPr="007E0D7B" w:rsidRDefault="00670E5E" w:rsidP="00A375CD">
            <w:pPr>
              <w:ind w:right="20"/>
              <w:jc w:val="center"/>
              <w:rPr>
                <w:rFonts w:cstheme="minorHAnsi"/>
                <w:b/>
                <w:sz w:val="14"/>
                <w:szCs w:val="14"/>
              </w:rPr>
            </w:pPr>
            <w:r w:rsidRPr="007E0D7B">
              <w:rPr>
                <w:rFonts w:cstheme="minorHAnsi"/>
                <w:b/>
                <w:sz w:val="14"/>
                <w:szCs w:val="14"/>
              </w:rPr>
              <w:t>MONTO DE LA PROPUESTA</w:t>
            </w:r>
          </w:p>
          <w:p w:rsidR="00670E5E" w:rsidRPr="00783627" w:rsidRDefault="00670E5E" w:rsidP="00A375CD">
            <w:pPr>
              <w:ind w:right="-108"/>
              <w:jc w:val="center"/>
              <w:rPr>
                <w:rFonts w:cstheme="minorHAnsi"/>
                <w:b/>
                <w:w w:val="90"/>
                <w:sz w:val="14"/>
                <w:szCs w:val="14"/>
              </w:rPr>
            </w:pPr>
            <w:r w:rsidRPr="00783627">
              <w:rPr>
                <w:rFonts w:cstheme="minorHAnsi"/>
                <w:b/>
                <w:w w:val="90"/>
                <w:sz w:val="12"/>
                <w:szCs w:val="14"/>
              </w:rPr>
              <w:t>(I.V.A. INCLUIDO)</w:t>
            </w:r>
          </w:p>
        </w:tc>
        <w:tc>
          <w:tcPr>
            <w:tcW w:w="851" w:type="dxa"/>
            <w:vMerge w:val="restart"/>
            <w:shd w:val="clear" w:color="auto" w:fill="F2F2F2" w:themeFill="background1" w:themeFillShade="F2"/>
            <w:vAlign w:val="center"/>
          </w:tcPr>
          <w:p w:rsidR="00670E5E" w:rsidRPr="007E0D7B" w:rsidRDefault="00670E5E" w:rsidP="00A375CD">
            <w:pPr>
              <w:tabs>
                <w:tab w:val="left" w:pos="-108"/>
              </w:tabs>
              <w:ind w:right="20"/>
              <w:jc w:val="center"/>
              <w:rPr>
                <w:rFonts w:cstheme="minorHAnsi"/>
                <w:b/>
                <w:w w:val="85"/>
                <w:sz w:val="12"/>
                <w:szCs w:val="14"/>
              </w:rPr>
            </w:pPr>
            <w:r w:rsidRPr="007E0D7B">
              <w:rPr>
                <w:rFonts w:cstheme="minorHAnsi"/>
                <w:b/>
                <w:w w:val="85"/>
                <w:sz w:val="12"/>
                <w:szCs w:val="14"/>
              </w:rPr>
              <w:t>% DE VARIACIÓN RESPECTO AL PRESUPUESTO BASE</w:t>
            </w:r>
          </w:p>
        </w:tc>
        <w:tc>
          <w:tcPr>
            <w:tcW w:w="2693" w:type="dxa"/>
            <w:gridSpan w:val="3"/>
            <w:shd w:val="clear" w:color="auto" w:fill="F2F2F2" w:themeFill="background1" w:themeFillShade="F2"/>
            <w:vAlign w:val="center"/>
          </w:tcPr>
          <w:p w:rsidR="00670E5E" w:rsidRPr="00783627" w:rsidRDefault="00670E5E" w:rsidP="00A375CD">
            <w:pPr>
              <w:tabs>
                <w:tab w:val="left" w:pos="-108"/>
              </w:tabs>
              <w:ind w:right="20"/>
              <w:jc w:val="center"/>
              <w:rPr>
                <w:rFonts w:cstheme="minorHAnsi"/>
                <w:b/>
                <w:sz w:val="14"/>
                <w:szCs w:val="14"/>
              </w:rPr>
            </w:pPr>
            <w:r w:rsidRPr="00783627">
              <w:rPr>
                <w:rFonts w:cstheme="minorHAnsi"/>
                <w:b/>
                <w:sz w:val="14"/>
                <w:szCs w:val="14"/>
              </w:rPr>
              <w:t>PUNTUACIÓN Y DICTAMEN</w:t>
            </w:r>
          </w:p>
        </w:tc>
        <w:tc>
          <w:tcPr>
            <w:tcW w:w="992" w:type="dxa"/>
            <w:vMerge w:val="restart"/>
            <w:shd w:val="clear" w:color="auto" w:fill="F2F2F2" w:themeFill="background1" w:themeFillShade="F2"/>
            <w:vAlign w:val="center"/>
          </w:tcPr>
          <w:p w:rsidR="00670E5E" w:rsidRPr="00783627" w:rsidRDefault="00670E5E" w:rsidP="00A375CD">
            <w:pPr>
              <w:ind w:right="23"/>
              <w:jc w:val="center"/>
              <w:rPr>
                <w:rFonts w:cstheme="minorHAnsi"/>
                <w:b/>
                <w:sz w:val="14"/>
                <w:szCs w:val="14"/>
              </w:rPr>
            </w:pPr>
            <w:r w:rsidRPr="00783627">
              <w:rPr>
                <w:rFonts w:cstheme="minorHAnsi"/>
                <w:b/>
                <w:w w:val="90"/>
                <w:sz w:val="14"/>
                <w:szCs w:val="19"/>
              </w:rPr>
              <w:t xml:space="preserve">DICTAMEN  FINAL </w:t>
            </w:r>
          </w:p>
        </w:tc>
      </w:tr>
      <w:tr w:rsidR="00670E5E" w:rsidRPr="00783627" w:rsidTr="00C83B06">
        <w:trPr>
          <w:trHeight w:val="258"/>
        </w:trPr>
        <w:tc>
          <w:tcPr>
            <w:tcW w:w="3970" w:type="dxa"/>
            <w:vMerge/>
            <w:shd w:val="clear" w:color="auto" w:fill="F2F2F2" w:themeFill="background1" w:themeFillShade="F2"/>
          </w:tcPr>
          <w:p w:rsidR="00670E5E" w:rsidRPr="00783627" w:rsidRDefault="00670E5E" w:rsidP="00A375CD">
            <w:pPr>
              <w:ind w:right="20"/>
              <w:jc w:val="both"/>
              <w:rPr>
                <w:rFonts w:cstheme="minorHAnsi"/>
                <w:b/>
                <w:sz w:val="19"/>
                <w:szCs w:val="19"/>
              </w:rPr>
            </w:pPr>
          </w:p>
        </w:tc>
        <w:tc>
          <w:tcPr>
            <w:tcW w:w="1275" w:type="dxa"/>
            <w:vMerge/>
            <w:shd w:val="clear" w:color="auto" w:fill="F2F2F2" w:themeFill="background1" w:themeFillShade="F2"/>
          </w:tcPr>
          <w:p w:rsidR="00670E5E" w:rsidRPr="00783627" w:rsidRDefault="00670E5E" w:rsidP="00A375CD">
            <w:pPr>
              <w:ind w:right="20"/>
              <w:jc w:val="both"/>
              <w:rPr>
                <w:rFonts w:cstheme="minorHAnsi"/>
                <w:b/>
                <w:sz w:val="19"/>
                <w:szCs w:val="19"/>
              </w:rPr>
            </w:pPr>
          </w:p>
        </w:tc>
        <w:tc>
          <w:tcPr>
            <w:tcW w:w="851" w:type="dxa"/>
            <w:vMerge/>
            <w:shd w:val="clear" w:color="auto" w:fill="F2F2F2" w:themeFill="background1" w:themeFillShade="F2"/>
            <w:vAlign w:val="center"/>
          </w:tcPr>
          <w:p w:rsidR="00670E5E" w:rsidRPr="00783627" w:rsidRDefault="00670E5E" w:rsidP="00A375CD">
            <w:pPr>
              <w:ind w:right="-143"/>
              <w:jc w:val="center"/>
              <w:rPr>
                <w:rFonts w:cstheme="minorHAnsi"/>
                <w:b/>
                <w:sz w:val="19"/>
                <w:szCs w:val="19"/>
              </w:rPr>
            </w:pPr>
          </w:p>
        </w:tc>
        <w:tc>
          <w:tcPr>
            <w:tcW w:w="1701" w:type="dxa"/>
            <w:gridSpan w:val="2"/>
            <w:shd w:val="clear" w:color="auto" w:fill="F2F2F2" w:themeFill="background1" w:themeFillShade="F2"/>
            <w:vAlign w:val="center"/>
          </w:tcPr>
          <w:p w:rsidR="00670E5E" w:rsidRPr="00783627" w:rsidRDefault="00670E5E" w:rsidP="00A375CD">
            <w:pPr>
              <w:ind w:right="20"/>
              <w:jc w:val="center"/>
              <w:rPr>
                <w:rFonts w:cstheme="minorHAnsi"/>
                <w:b/>
                <w:sz w:val="16"/>
                <w:szCs w:val="14"/>
              </w:rPr>
            </w:pPr>
            <w:r w:rsidRPr="00783627">
              <w:rPr>
                <w:rFonts w:cstheme="minorHAnsi"/>
                <w:b/>
                <w:sz w:val="16"/>
                <w:szCs w:val="14"/>
              </w:rPr>
              <w:t>DGIM</w:t>
            </w:r>
          </w:p>
        </w:tc>
        <w:tc>
          <w:tcPr>
            <w:tcW w:w="992" w:type="dxa"/>
            <w:shd w:val="clear" w:color="auto" w:fill="F2F2F2" w:themeFill="background1" w:themeFillShade="F2"/>
            <w:vAlign w:val="center"/>
          </w:tcPr>
          <w:p w:rsidR="00670E5E" w:rsidRPr="00783627" w:rsidRDefault="00670E5E" w:rsidP="00A375CD">
            <w:pPr>
              <w:ind w:right="20"/>
              <w:jc w:val="center"/>
              <w:rPr>
                <w:rFonts w:cstheme="minorHAnsi"/>
                <w:b/>
                <w:sz w:val="16"/>
                <w:szCs w:val="14"/>
              </w:rPr>
            </w:pPr>
            <w:r w:rsidRPr="00783627">
              <w:rPr>
                <w:rFonts w:cstheme="minorHAnsi"/>
                <w:b/>
                <w:sz w:val="16"/>
                <w:szCs w:val="14"/>
              </w:rPr>
              <w:t>DGPP</w:t>
            </w:r>
          </w:p>
        </w:tc>
        <w:tc>
          <w:tcPr>
            <w:tcW w:w="992" w:type="dxa"/>
            <w:vMerge/>
            <w:shd w:val="clear" w:color="auto" w:fill="F2F2F2" w:themeFill="background1" w:themeFillShade="F2"/>
            <w:vAlign w:val="center"/>
          </w:tcPr>
          <w:p w:rsidR="00670E5E" w:rsidRPr="00783627" w:rsidRDefault="00670E5E" w:rsidP="00A375CD">
            <w:pPr>
              <w:ind w:right="23"/>
              <w:jc w:val="center"/>
              <w:rPr>
                <w:rFonts w:cstheme="minorHAnsi"/>
                <w:b/>
                <w:sz w:val="14"/>
                <w:szCs w:val="14"/>
              </w:rPr>
            </w:pPr>
          </w:p>
        </w:tc>
      </w:tr>
      <w:tr w:rsidR="00670E5E" w:rsidRPr="00783627" w:rsidTr="00F26CDE">
        <w:trPr>
          <w:trHeight w:val="556"/>
        </w:trPr>
        <w:tc>
          <w:tcPr>
            <w:tcW w:w="3970" w:type="dxa"/>
            <w:vMerge/>
            <w:shd w:val="clear" w:color="auto" w:fill="F2F2F2" w:themeFill="background1" w:themeFillShade="F2"/>
          </w:tcPr>
          <w:p w:rsidR="00670E5E" w:rsidRPr="00783627" w:rsidRDefault="00670E5E" w:rsidP="00A375CD">
            <w:pPr>
              <w:ind w:right="20"/>
              <w:jc w:val="both"/>
              <w:rPr>
                <w:rFonts w:cstheme="minorHAnsi"/>
                <w:b/>
                <w:sz w:val="19"/>
                <w:szCs w:val="19"/>
              </w:rPr>
            </w:pPr>
          </w:p>
        </w:tc>
        <w:tc>
          <w:tcPr>
            <w:tcW w:w="1275" w:type="dxa"/>
            <w:vMerge/>
            <w:shd w:val="clear" w:color="auto" w:fill="F2F2F2" w:themeFill="background1" w:themeFillShade="F2"/>
          </w:tcPr>
          <w:p w:rsidR="00670E5E" w:rsidRPr="00783627" w:rsidRDefault="00670E5E" w:rsidP="00A375CD">
            <w:pPr>
              <w:ind w:right="20"/>
              <w:jc w:val="both"/>
              <w:rPr>
                <w:rFonts w:cstheme="minorHAnsi"/>
                <w:b/>
                <w:sz w:val="19"/>
                <w:szCs w:val="19"/>
              </w:rPr>
            </w:pPr>
          </w:p>
        </w:tc>
        <w:tc>
          <w:tcPr>
            <w:tcW w:w="851" w:type="dxa"/>
            <w:vMerge/>
            <w:shd w:val="clear" w:color="auto" w:fill="F2F2F2" w:themeFill="background1" w:themeFillShade="F2"/>
            <w:vAlign w:val="center"/>
          </w:tcPr>
          <w:p w:rsidR="00670E5E" w:rsidRPr="00783627" w:rsidRDefault="00670E5E" w:rsidP="00A375CD">
            <w:pPr>
              <w:ind w:right="-143"/>
              <w:jc w:val="center"/>
              <w:rPr>
                <w:rFonts w:cstheme="minorHAnsi"/>
                <w:b/>
                <w:sz w:val="19"/>
                <w:szCs w:val="19"/>
              </w:rPr>
            </w:pPr>
          </w:p>
        </w:tc>
        <w:tc>
          <w:tcPr>
            <w:tcW w:w="850" w:type="dxa"/>
            <w:shd w:val="clear" w:color="auto" w:fill="F2F2F2" w:themeFill="background1" w:themeFillShade="F2"/>
            <w:vAlign w:val="center"/>
          </w:tcPr>
          <w:p w:rsidR="00670E5E" w:rsidRPr="007E0D7B" w:rsidRDefault="00670E5E" w:rsidP="00A375CD">
            <w:pPr>
              <w:ind w:right="23"/>
              <w:jc w:val="center"/>
              <w:rPr>
                <w:rFonts w:cstheme="minorHAnsi"/>
                <w:b/>
                <w:w w:val="80"/>
                <w:sz w:val="14"/>
                <w:szCs w:val="19"/>
              </w:rPr>
            </w:pPr>
            <w:r w:rsidRPr="007E0D7B">
              <w:rPr>
                <w:rFonts w:cstheme="minorHAnsi"/>
                <w:b/>
                <w:w w:val="80"/>
                <w:sz w:val="14"/>
                <w:szCs w:val="19"/>
              </w:rPr>
              <w:t>PROPUESTA TÉCNICA</w:t>
            </w:r>
          </w:p>
        </w:tc>
        <w:tc>
          <w:tcPr>
            <w:tcW w:w="851" w:type="dxa"/>
            <w:shd w:val="clear" w:color="auto" w:fill="F2F2F2" w:themeFill="background1" w:themeFillShade="F2"/>
            <w:vAlign w:val="center"/>
          </w:tcPr>
          <w:p w:rsidR="00670E5E" w:rsidRPr="007E0D7B" w:rsidRDefault="00670E5E" w:rsidP="00A375CD">
            <w:pPr>
              <w:ind w:right="23"/>
              <w:jc w:val="center"/>
              <w:rPr>
                <w:rFonts w:cstheme="minorHAnsi"/>
                <w:b/>
                <w:w w:val="80"/>
                <w:sz w:val="14"/>
                <w:szCs w:val="19"/>
              </w:rPr>
            </w:pPr>
            <w:r w:rsidRPr="007E0D7B">
              <w:rPr>
                <w:rFonts w:cstheme="minorHAnsi"/>
                <w:b/>
                <w:w w:val="80"/>
                <w:sz w:val="14"/>
                <w:szCs w:val="19"/>
              </w:rPr>
              <w:t>PROPUESTA ECONÓMICA</w:t>
            </w:r>
          </w:p>
        </w:tc>
        <w:tc>
          <w:tcPr>
            <w:tcW w:w="992" w:type="dxa"/>
            <w:shd w:val="clear" w:color="auto" w:fill="F2F2F2" w:themeFill="background1" w:themeFillShade="F2"/>
            <w:vAlign w:val="center"/>
          </w:tcPr>
          <w:p w:rsidR="00670E5E" w:rsidRPr="007E0D7B" w:rsidRDefault="00670E5E" w:rsidP="00A375CD">
            <w:pPr>
              <w:ind w:right="23"/>
              <w:jc w:val="center"/>
              <w:rPr>
                <w:rFonts w:cstheme="minorHAnsi"/>
                <w:b/>
                <w:w w:val="80"/>
                <w:sz w:val="14"/>
                <w:szCs w:val="19"/>
              </w:rPr>
            </w:pPr>
            <w:r w:rsidRPr="007E0D7B">
              <w:rPr>
                <w:rFonts w:cstheme="minorHAnsi"/>
                <w:b/>
                <w:w w:val="80"/>
                <w:sz w:val="14"/>
                <w:szCs w:val="19"/>
              </w:rPr>
              <w:t>DICTAMEN RESOLUTIVO FINANCIERO</w:t>
            </w:r>
          </w:p>
        </w:tc>
        <w:tc>
          <w:tcPr>
            <w:tcW w:w="992" w:type="dxa"/>
            <w:vMerge/>
            <w:shd w:val="clear" w:color="auto" w:fill="F2F2F2" w:themeFill="background1" w:themeFillShade="F2"/>
            <w:vAlign w:val="center"/>
          </w:tcPr>
          <w:p w:rsidR="00670E5E" w:rsidRPr="00783627" w:rsidRDefault="00670E5E" w:rsidP="00A375CD">
            <w:pPr>
              <w:ind w:right="23"/>
              <w:jc w:val="center"/>
              <w:rPr>
                <w:rFonts w:cstheme="minorHAnsi"/>
                <w:b/>
                <w:w w:val="90"/>
                <w:sz w:val="14"/>
                <w:szCs w:val="19"/>
              </w:rPr>
            </w:pPr>
          </w:p>
        </w:tc>
      </w:tr>
      <w:tr w:rsidR="00670E5E" w:rsidRPr="00783627" w:rsidTr="00C83B06">
        <w:trPr>
          <w:trHeight w:val="469"/>
        </w:trPr>
        <w:tc>
          <w:tcPr>
            <w:tcW w:w="3970" w:type="dxa"/>
            <w:shd w:val="clear" w:color="auto" w:fill="FFFFFF" w:themeFill="background1"/>
            <w:vAlign w:val="center"/>
          </w:tcPr>
          <w:p w:rsidR="00670E5E" w:rsidRPr="008C2B3D" w:rsidRDefault="00670E5E" w:rsidP="00BE69A8">
            <w:pPr>
              <w:ind w:right="-108"/>
              <w:rPr>
                <w:rFonts w:cstheme="minorHAnsi"/>
                <w:w w:val="90"/>
                <w:sz w:val="18"/>
                <w:szCs w:val="18"/>
              </w:rPr>
            </w:pPr>
            <w:r w:rsidRPr="008C2B3D">
              <w:rPr>
                <w:rFonts w:cstheme="minorHAnsi"/>
                <w:w w:val="90"/>
                <w:sz w:val="18"/>
                <w:szCs w:val="18"/>
              </w:rPr>
              <w:t xml:space="preserve">1.- </w:t>
            </w:r>
            <w:r w:rsidRPr="00E86E89">
              <w:rPr>
                <w:rFonts w:cstheme="minorHAnsi"/>
                <w:w w:val="90"/>
                <w:sz w:val="18"/>
                <w:szCs w:val="18"/>
              </w:rPr>
              <w:t>SISTEMAS AVANZADOS EN COMPUTACIÓN DE MÉXICO, S.A. DE C.V.</w:t>
            </w:r>
          </w:p>
        </w:tc>
        <w:tc>
          <w:tcPr>
            <w:tcW w:w="1275" w:type="dxa"/>
            <w:shd w:val="clear" w:color="auto" w:fill="FFFFFF" w:themeFill="background1"/>
            <w:vAlign w:val="center"/>
          </w:tcPr>
          <w:p w:rsidR="00670E5E" w:rsidRPr="0026237B" w:rsidRDefault="00670E5E" w:rsidP="00F22266">
            <w:pPr>
              <w:ind w:right="-108" w:hanging="108"/>
              <w:jc w:val="center"/>
              <w:rPr>
                <w:rFonts w:cstheme="minorHAnsi"/>
                <w:w w:val="90"/>
                <w:sz w:val="18"/>
                <w:szCs w:val="18"/>
              </w:rPr>
            </w:pPr>
            <w:r w:rsidRPr="0026237B">
              <w:rPr>
                <w:rFonts w:cstheme="minorHAnsi"/>
                <w:w w:val="90"/>
                <w:sz w:val="18"/>
                <w:szCs w:val="18"/>
                <w:lang w:val="es-ES"/>
              </w:rPr>
              <w:t>$</w:t>
            </w:r>
            <w:r>
              <w:rPr>
                <w:rFonts w:cstheme="minorHAnsi"/>
                <w:w w:val="90"/>
                <w:sz w:val="18"/>
                <w:szCs w:val="18"/>
                <w:lang w:val="es-ES"/>
              </w:rPr>
              <w:t>3</w:t>
            </w:r>
            <w:r w:rsidRPr="0026237B">
              <w:rPr>
                <w:rFonts w:cstheme="minorHAnsi"/>
                <w:w w:val="90"/>
                <w:sz w:val="18"/>
                <w:szCs w:val="18"/>
                <w:lang w:val="es-ES"/>
              </w:rPr>
              <w:t>´</w:t>
            </w:r>
            <w:r>
              <w:rPr>
                <w:rFonts w:cstheme="minorHAnsi"/>
                <w:w w:val="90"/>
                <w:sz w:val="18"/>
                <w:szCs w:val="18"/>
                <w:lang w:val="es-ES"/>
              </w:rPr>
              <w:t>693,130.48</w:t>
            </w:r>
          </w:p>
        </w:tc>
        <w:tc>
          <w:tcPr>
            <w:tcW w:w="851" w:type="dxa"/>
            <w:shd w:val="clear" w:color="auto" w:fill="FFFFFF" w:themeFill="background1"/>
            <w:vAlign w:val="center"/>
          </w:tcPr>
          <w:p w:rsidR="00670E5E" w:rsidRPr="00A8709C" w:rsidRDefault="00670E5E" w:rsidP="00A8709C">
            <w:pPr>
              <w:ind w:right="-108" w:hanging="108"/>
              <w:jc w:val="center"/>
              <w:rPr>
                <w:rFonts w:cstheme="minorHAnsi"/>
                <w:w w:val="90"/>
                <w:sz w:val="18"/>
                <w:szCs w:val="18"/>
              </w:rPr>
            </w:pPr>
            <w:r w:rsidRPr="00A8709C">
              <w:rPr>
                <w:rFonts w:cstheme="minorHAnsi"/>
                <w:w w:val="90"/>
                <w:sz w:val="18"/>
                <w:szCs w:val="18"/>
              </w:rPr>
              <w:t>-0.01%</w:t>
            </w:r>
          </w:p>
        </w:tc>
        <w:tc>
          <w:tcPr>
            <w:tcW w:w="850" w:type="dxa"/>
            <w:shd w:val="clear" w:color="auto" w:fill="FFFFFF" w:themeFill="background1"/>
            <w:vAlign w:val="center"/>
          </w:tcPr>
          <w:p w:rsidR="00670E5E" w:rsidRPr="00292706" w:rsidRDefault="00670E5E" w:rsidP="00A375CD">
            <w:pPr>
              <w:ind w:right="20"/>
              <w:jc w:val="center"/>
              <w:rPr>
                <w:rFonts w:ascii="Arial" w:hAnsi="Arial" w:cs="Arial"/>
                <w:w w:val="80"/>
                <w:sz w:val="18"/>
                <w:szCs w:val="18"/>
              </w:rPr>
            </w:pPr>
            <w:r w:rsidRPr="00292706">
              <w:rPr>
                <w:rFonts w:ascii="Arial" w:hAnsi="Arial" w:cs="Arial"/>
                <w:w w:val="80"/>
                <w:sz w:val="18"/>
                <w:szCs w:val="18"/>
              </w:rPr>
              <w:t>1</w:t>
            </w:r>
          </w:p>
        </w:tc>
        <w:tc>
          <w:tcPr>
            <w:tcW w:w="851" w:type="dxa"/>
            <w:shd w:val="clear" w:color="auto" w:fill="FFFFFF" w:themeFill="background1"/>
            <w:vAlign w:val="center"/>
          </w:tcPr>
          <w:p w:rsidR="00670E5E" w:rsidRPr="00292706" w:rsidRDefault="00670E5E" w:rsidP="00292706">
            <w:pPr>
              <w:ind w:right="20"/>
              <w:jc w:val="center"/>
              <w:rPr>
                <w:rFonts w:ascii="Arial" w:hAnsi="Arial" w:cs="Arial"/>
                <w:w w:val="80"/>
                <w:sz w:val="18"/>
                <w:szCs w:val="18"/>
              </w:rPr>
            </w:pPr>
            <w:r w:rsidRPr="00292706">
              <w:rPr>
                <w:rFonts w:ascii="Arial" w:hAnsi="Arial" w:cs="Arial"/>
                <w:w w:val="80"/>
                <w:sz w:val="18"/>
                <w:szCs w:val="18"/>
              </w:rPr>
              <w:t>1</w:t>
            </w:r>
          </w:p>
        </w:tc>
        <w:tc>
          <w:tcPr>
            <w:tcW w:w="992" w:type="dxa"/>
            <w:shd w:val="clear" w:color="auto" w:fill="FFFFFF" w:themeFill="background1"/>
            <w:vAlign w:val="center"/>
          </w:tcPr>
          <w:p w:rsidR="00670E5E" w:rsidRPr="00BE69A8" w:rsidRDefault="00670E5E" w:rsidP="003E16B1">
            <w:pPr>
              <w:ind w:left="-108" w:right="-108"/>
              <w:jc w:val="center"/>
              <w:rPr>
                <w:rFonts w:cstheme="minorHAnsi"/>
                <w:w w:val="66"/>
                <w:sz w:val="18"/>
                <w:szCs w:val="18"/>
              </w:rPr>
            </w:pPr>
            <w:r w:rsidRPr="00BE69A8">
              <w:rPr>
                <w:rFonts w:cstheme="minorHAnsi"/>
                <w:w w:val="66"/>
                <w:sz w:val="18"/>
                <w:szCs w:val="18"/>
              </w:rPr>
              <w:t xml:space="preserve"> FAVORABLE</w:t>
            </w:r>
          </w:p>
        </w:tc>
        <w:tc>
          <w:tcPr>
            <w:tcW w:w="992" w:type="dxa"/>
            <w:shd w:val="clear" w:color="auto" w:fill="FFFFFF" w:themeFill="background1"/>
            <w:vAlign w:val="center"/>
          </w:tcPr>
          <w:p w:rsidR="00670E5E" w:rsidRPr="00BE69A8" w:rsidRDefault="00670E5E" w:rsidP="00A375CD">
            <w:pPr>
              <w:ind w:left="-108" w:right="-108"/>
              <w:jc w:val="center"/>
              <w:rPr>
                <w:rFonts w:cstheme="minorHAnsi"/>
                <w:w w:val="66"/>
                <w:sz w:val="18"/>
                <w:szCs w:val="18"/>
              </w:rPr>
            </w:pPr>
            <w:r w:rsidRPr="00BE69A8">
              <w:rPr>
                <w:rFonts w:cstheme="minorHAnsi"/>
                <w:w w:val="66"/>
                <w:sz w:val="18"/>
                <w:szCs w:val="18"/>
              </w:rPr>
              <w:t xml:space="preserve"> SOLVENTE</w:t>
            </w:r>
          </w:p>
        </w:tc>
      </w:tr>
      <w:tr w:rsidR="00670E5E" w:rsidRPr="00783627" w:rsidTr="00C83B06">
        <w:trPr>
          <w:trHeight w:val="420"/>
        </w:trPr>
        <w:tc>
          <w:tcPr>
            <w:tcW w:w="3970" w:type="dxa"/>
            <w:shd w:val="clear" w:color="auto" w:fill="FFFFFF" w:themeFill="background1"/>
            <w:vAlign w:val="center"/>
          </w:tcPr>
          <w:p w:rsidR="00670E5E" w:rsidRPr="002F6D73" w:rsidRDefault="00670E5E" w:rsidP="00BE69A8">
            <w:pPr>
              <w:ind w:right="-108"/>
              <w:rPr>
                <w:rFonts w:cstheme="minorHAnsi"/>
                <w:w w:val="90"/>
                <w:sz w:val="18"/>
                <w:szCs w:val="18"/>
              </w:rPr>
            </w:pPr>
            <w:r w:rsidRPr="002F6D73">
              <w:rPr>
                <w:rFonts w:cstheme="minorHAnsi"/>
                <w:w w:val="90"/>
                <w:sz w:val="18"/>
                <w:szCs w:val="18"/>
              </w:rPr>
              <w:t>2.- DIAMOND AIR, S.A. DE C.V. ** (ver Nota No. 1)</w:t>
            </w:r>
          </w:p>
        </w:tc>
        <w:tc>
          <w:tcPr>
            <w:tcW w:w="1275" w:type="dxa"/>
            <w:shd w:val="clear" w:color="auto" w:fill="FFFFFF" w:themeFill="background1"/>
            <w:vAlign w:val="center"/>
          </w:tcPr>
          <w:p w:rsidR="00670E5E" w:rsidRPr="0026237B" w:rsidRDefault="00670E5E" w:rsidP="002B5463">
            <w:pPr>
              <w:ind w:right="-108" w:hanging="108"/>
              <w:jc w:val="center"/>
              <w:rPr>
                <w:rFonts w:cstheme="minorHAnsi"/>
                <w:w w:val="90"/>
                <w:sz w:val="18"/>
                <w:szCs w:val="18"/>
              </w:rPr>
            </w:pPr>
            <w:r w:rsidRPr="0026237B">
              <w:rPr>
                <w:rFonts w:cstheme="minorHAnsi"/>
                <w:w w:val="90"/>
                <w:sz w:val="18"/>
                <w:szCs w:val="18"/>
                <w:lang w:val="es-ES"/>
              </w:rPr>
              <w:t>$</w:t>
            </w:r>
            <w:r>
              <w:rPr>
                <w:rFonts w:cstheme="minorHAnsi"/>
                <w:w w:val="90"/>
                <w:sz w:val="18"/>
                <w:szCs w:val="18"/>
                <w:lang w:val="es-ES"/>
              </w:rPr>
              <w:t>3</w:t>
            </w:r>
            <w:r w:rsidRPr="0026237B">
              <w:rPr>
                <w:rFonts w:cstheme="minorHAnsi"/>
                <w:w w:val="90"/>
                <w:sz w:val="18"/>
                <w:szCs w:val="18"/>
                <w:lang w:val="es-ES"/>
              </w:rPr>
              <w:t>´</w:t>
            </w:r>
            <w:r>
              <w:rPr>
                <w:rFonts w:cstheme="minorHAnsi"/>
                <w:w w:val="90"/>
                <w:sz w:val="18"/>
                <w:szCs w:val="18"/>
                <w:lang w:val="es-ES"/>
              </w:rPr>
              <w:t>753,659.95</w:t>
            </w:r>
          </w:p>
        </w:tc>
        <w:tc>
          <w:tcPr>
            <w:tcW w:w="851" w:type="dxa"/>
            <w:shd w:val="clear" w:color="auto" w:fill="FFFFFF" w:themeFill="background1"/>
            <w:vAlign w:val="center"/>
          </w:tcPr>
          <w:p w:rsidR="00670E5E" w:rsidRPr="00A8709C" w:rsidRDefault="00670E5E" w:rsidP="00292706">
            <w:pPr>
              <w:ind w:right="-108" w:hanging="108"/>
              <w:jc w:val="center"/>
              <w:rPr>
                <w:rFonts w:cstheme="minorHAnsi"/>
                <w:w w:val="90"/>
                <w:sz w:val="18"/>
                <w:szCs w:val="18"/>
              </w:rPr>
            </w:pPr>
            <w:r>
              <w:rPr>
                <w:rFonts w:cstheme="minorHAnsi"/>
                <w:w w:val="90"/>
                <w:sz w:val="18"/>
                <w:szCs w:val="18"/>
              </w:rPr>
              <w:t>+1.63</w:t>
            </w:r>
            <w:r w:rsidRPr="00A8709C">
              <w:rPr>
                <w:rFonts w:cstheme="minorHAnsi"/>
                <w:w w:val="90"/>
                <w:sz w:val="18"/>
                <w:szCs w:val="18"/>
              </w:rPr>
              <w:t>%</w:t>
            </w:r>
          </w:p>
        </w:tc>
        <w:tc>
          <w:tcPr>
            <w:tcW w:w="850" w:type="dxa"/>
            <w:shd w:val="clear" w:color="auto" w:fill="FFFFFF" w:themeFill="background1"/>
            <w:vAlign w:val="center"/>
          </w:tcPr>
          <w:p w:rsidR="00670E5E" w:rsidRPr="00292706" w:rsidRDefault="00670E5E" w:rsidP="00C95232">
            <w:pPr>
              <w:ind w:right="20"/>
              <w:jc w:val="center"/>
              <w:rPr>
                <w:rFonts w:ascii="Arial" w:hAnsi="Arial" w:cs="Arial"/>
                <w:w w:val="80"/>
                <w:sz w:val="18"/>
                <w:szCs w:val="18"/>
              </w:rPr>
            </w:pPr>
            <w:r w:rsidRPr="00292706">
              <w:rPr>
                <w:rFonts w:ascii="Arial" w:hAnsi="Arial" w:cs="Arial"/>
                <w:w w:val="80"/>
                <w:sz w:val="18"/>
                <w:szCs w:val="18"/>
              </w:rPr>
              <w:t>0</w:t>
            </w:r>
          </w:p>
        </w:tc>
        <w:tc>
          <w:tcPr>
            <w:tcW w:w="851" w:type="dxa"/>
            <w:shd w:val="clear" w:color="auto" w:fill="FFFFFF" w:themeFill="background1"/>
            <w:vAlign w:val="center"/>
          </w:tcPr>
          <w:p w:rsidR="00670E5E" w:rsidRPr="00292706" w:rsidRDefault="00670E5E" w:rsidP="00C95232">
            <w:pPr>
              <w:ind w:right="20"/>
              <w:jc w:val="center"/>
              <w:rPr>
                <w:rFonts w:cstheme="minorHAnsi"/>
                <w:b/>
                <w:w w:val="90"/>
                <w:sz w:val="18"/>
                <w:szCs w:val="18"/>
                <w:lang w:val="es-ES"/>
              </w:rPr>
            </w:pPr>
            <w:r w:rsidRPr="00292706">
              <w:rPr>
                <w:rFonts w:cstheme="minorHAnsi"/>
                <w:b/>
                <w:w w:val="90"/>
                <w:sz w:val="18"/>
                <w:szCs w:val="18"/>
                <w:lang w:val="es-ES"/>
              </w:rPr>
              <w:t>*</w:t>
            </w:r>
          </w:p>
        </w:tc>
        <w:tc>
          <w:tcPr>
            <w:tcW w:w="992" w:type="dxa"/>
            <w:shd w:val="clear" w:color="auto" w:fill="FFFFFF" w:themeFill="background1"/>
            <w:vAlign w:val="center"/>
          </w:tcPr>
          <w:p w:rsidR="00670E5E" w:rsidRPr="00BE69A8" w:rsidRDefault="00670E5E" w:rsidP="00A375CD">
            <w:pPr>
              <w:ind w:left="-108" w:right="-108"/>
              <w:jc w:val="center"/>
              <w:rPr>
                <w:rFonts w:cstheme="minorHAnsi"/>
                <w:w w:val="66"/>
                <w:sz w:val="18"/>
                <w:szCs w:val="18"/>
              </w:rPr>
            </w:pPr>
            <w:r w:rsidRPr="00BE69A8">
              <w:rPr>
                <w:rFonts w:cstheme="minorHAnsi"/>
                <w:w w:val="66"/>
                <w:sz w:val="18"/>
                <w:szCs w:val="18"/>
              </w:rPr>
              <w:t>NO FAVORABLE</w:t>
            </w:r>
          </w:p>
        </w:tc>
        <w:tc>
          <w:tcPr>
            <w:tcW w:w="992" w:type="dxa"/>
            <w:shd w:val="clear" w:color="auto" w:fill="FFFFFF" w:themeFill="background1"/>
            <w:vAlign w:val="center"/>
          </w:tcPr>
          <w:p w:rsidR="00670E5E" w:rsidRPr="00BE69A8" w:rsidRDefault="00670E5E" w:rsidP="00A375CD">
            <w:pPr>
              <w:ind w:left="-108" w:right="-108"/>
              <w:jc w:val="center"/>
              <w:rPr>
                <w:rFonts w:cstheme="minorHAnsi"/>
                <w:w w:val="66"/>
                <w:sz w:val="18"/>
                <w:szCs w:val="18"/>
              </w:rPr>
            </w:pPr>
            <w:r w:rsidRPr="00BE69A8">
              <w:rPr>
                <w:rFonts w:cstheme="minorHAnsi"/>
                <w:w w:val="66"/>
                <w:sz w:val="18"/>
                <w:szCs w:val="18"/>
              </w:rPr>
              <w:t>NO SOLVENTE</w:t>
            </w:r>
          </w:p>
        </w:tc>
      </w:tr>
      <w:tr w:rsidR="00670E5E" w:rsidRPr="00B66164" w:rsidTr="00C83B06">
        <w:trPr>
          <w:trHeight w:val="412"/>
        </w:trPr>
        <w:tc>
          <w:tcPr>
            <w:tcW w:w="3970" w:type="dxa"/>
            <w:shd w:val="clear" w:color="auto" w:fill="FFFFFF" w:themeFill="background1"/>
            <w:vAlign w:val="center"/>
          </w:tcPr>
          <w:p w:rsidR="00670E5E" w:rsidRPr="002F6D73" w:rsidRDefault="00670E5E" w:rsidP="00BE69A8">
            <w:pPr>
              <w:ind w:right="-108"/>
              <w:rPr>
                <w:rFonts w:cstheme="minorHAnsi"/>
                <w:w w:val="90"/>
                <w:sz w:val="18"/>
                <w:szCs w:val="18"/>
                <w:lang w:val="en-US"/>
              </w:rPr>
            </w:pPr>
            <w:r w:rsidRPr="002F6D73">
              <w:rPr>
                <w:rFonts w:cstheme="minorHAnsi"/>
                <w:w w:val="90"/>
                <w:sz w:val="18"/>
                <w:szCs w:val="18"/>
                <w:lang w:val="en-US"/>
              </w:rPr>
              <w:t>3.- OPEN SOLUTIONS INFORMATION TECHNOLOGIES, S.A. DE C.V. **</w:t>
            </w:r>
          </w:p>
        </w:tc>
        <w:tc>
          <w:tcPr>
            <w:tcW w:w="1275" w:type="dxa"/>
            <w:shd w:val="clear" w:color="auto" w:fill="FFFFFF" w:themeFill="background1"/>
            <w:vAlign w:val="center"/>
          </w:tcPr>
          <w:p w:rsidR="00670E5E" w:rsidRPr="00E86E89" w:rsidRDefault="00670E5E" w:rsidP="00F22266">
            <w:pPr>
              <w:ind w:right="-108" w:hanging="108"/>
              <w:jc w:val="center"/>
              <w:rPr>
                <w:rFonts w:cstheme="minorHAnsi"/>
                <w:w w:val="90"/>
                <w:sz w:val="18"/>
                <w:szCs w:val="18"/>
                <w:lang w:val="es-ES"/>
              </w:rPr>
            </w:pPr>
            <w:r w:rsidRPr="0026237B">
              <w:rPr>
                <w:rFonts w:cstheme="minorHAnsi"/>
                <w:w w:val="90"/>
                <w:sz w:val="18"/>
                <w:szCs w:val="18"/>
                <w:lang w:val="es-ES"/>
              </w:rPr>
              <w:t>$</w:t>
            </w:r>
            <w:r>
              <w:rPr>
                <w:rFonts w:cstheme="minorHAnsi"/>
                <w:w w:val="90"/>
                <w:sz w:val="18"/>
                <w:szCs w:val="18"/>
                <w:lang w:val="es-ES"/>
              </w:rPr>
              <w:t>3</w:t>
            </w:r>
            <w:r w:rsidRPr="0026237B">
              <w:rPr>
                <w:rFonts w:cstheme="minorHAnsi"/>
                <w:w w:val="90"/>
                <w:sz w:val="18"/>
                <w:szCs w:val="18"/>
                <w:lang w:val="es-ES"/>
              </w:rPr>
              <w:t>´</w:t>
            </w:r>
            <w:r>
              <w:rPr>
                <w:rFonts w:cstheme="minorHAnsi"/>
                <w:w w:val="90"/>
                <w:sz w:val="18"/>
                <w:szCs w:val="18"/>
                <w:lang w:val="es-ES"/>
              </w:rPr>
              <w:t>847,083.06</w:t>
            </w:r>
          </w:p>
        </w:tc>
        <w:tc>
          <w:tcPr>
            <w:tcW w:w="851" w:type="dxa"/>
            <w:shd w:val="clear" w:color="auto" w:fill="FFFFFF" w:themeFill="background1"/>
            <w:vAlign w:val="center"/>
          </w:tcPr>
          <w:p w:rsidR="00670E5E" w:rsidRPr="00A8709C" w:rsidRDefault="00670E5E" w:rsidP="00292706">
            <w:pPr>
              <w:ind w:right="-108" w:hanging="108"/>
              <w:jc w:val="center"/>
              <w:rPr>
                <w:rFonts w:cstheme="minorHAnsi"/>
                <w:w w:val="90"/>
                <w:sz w:val="18"/>
                <w:szCs w:val="18"/>
              </w:rPr>
            </w:pPr>
            <w:r>
              <w:rPr>
                <w:rFonts w:cstheme="minorHAnsi"/>
                <w:w w:val="90"/>
                <w:sz w:val="18"/>
                <w:szCs w:val="18"/>
              </w:rPr>
              <w:t>+4.16</w:t>
            </w:r>
            <w:r w:rsidRPr="00A8709C">
              <w:rPr>
                <w:rFonts w:cstheme="minorHAnsi"/>
                <w:w w:val="90"/>
                <w:sz w:val="18"/>
                <w:szCs w:val="18"/>
              </w:rPr>
              <w:t>%</w:t>
            </w:r>
          </w:p>
        </w:tc>
        <w:tc>
          <w:tcPr>
            <w:tcW w:w="850" w:type="dxa"/>
            <w:shd w:val="clear" w:color="auto" w:fill="FFFFFF" w:themeFill="background1"/>
            <w:vAlign w:val="center"/>
          </w:tcPr>
          <w:p w:rsidR="00670E5E" w:rsidRPr="00292706" w:rsidRDefault="00670E5E" w:rsidP="00C95232">
            <w:pPr>
              <w:ind w:right="20"/>
              <w:jc w:val="center"/>
              <w:rPr>
                <w:rFonts w:ascii="Arial" w:hAnsi="Arial" w:cs="Arial"/>
                <w:w w:val="80"/>
                <w:sz w:val="18"/>
                <w:szCs w:val="18"/>
              </w:rPr>
            </w:pPr>
            <w:r w:rsidRPr="00292706">
              <w:rPr>
                <w:rFonts w:ascii="Arial" w:hAnsi="Arial" w:cs="Arial"/>
                <w:w w:val="80"/>
                <w:sz w:val="18"/>
                <w:szCs w:val="18"/>
              </w:rPr>
              <w:t>0</w:t>
            </w:r>
          </w:p>
        </w:tc>
        <w:tc>
          <w:tcPr>
            <w:tcW w:w="851" w:type="dxa"/>
            <w:shd w:val="clear" w:color="auto" w:fill="FFFFFF" w:themeFill="background1"/>
            <w:vAlign w:val="center"/>
          </w:tcPr>
          <w:p w:rsidR="00670E5E" w:rsidRPr="00292706" w:rsidRDefault="00670E5E" w:rsidP="00C95232">
            <w:pPr>
              <w:ind w:right="20"/>
              <w:jc w:val="center"/>
              <w:rPr>
                <w:rFonts w:cstheme="minorHAnsi"/>
                <w:b/>
                <w:w w:val="90"/>
                <w:sz w:val="18"/>
                <w:szCs w:val="18"/>
                <w:lang w:val="es-ES"/>
              </w:rPr>
            </w:pPr>
            <w:r w:rsidRPr="00292706">
              <w:rPr>
                <w:rFonts w:cstheme="minorHAnsi"/>
                <w:b/>
                <w:w w:val="90"/>
                <w:sz w:val="18"/>
                <w:szCs w:val="18"/>
                <w:lang w:val="es-ES"/>
              </w:rPr>
              <w:t>*</w:t>
            </w:r>
          </w:p>
        </w:tc>
        <w:tc>
          <w:tcPr>
            <w:tcW w:w="992" w:type="dxa"/>
            <w:shd w:val="clear" w:color="auto" w:fill="FFFFFF" w:themeFill="background1"/>
            <w:vAlign w:val="center"/>
          </w:tcPr>
          <w:p w:rsidR="00670E5E" w:rsidRPr="00BE69A8" w:rsidRDefault="00670E5E" w:rsidP="00A375CD">
            <w:pPr>
              <w:ind w:left="-108" w:right="-108"/>
              <w:jc w:val="center"/>
              <w:rPr>
                <w:rFonts w:cstheme="minorHAnsi"/>
                <w:w w:val="66"/>
                <w:sz w:val="18"/>
                <w:szCs w:val="18"/>
              </w:rPr>
            </w:pPr>
            <w:r w:rsidRPr="00BE69A8">
              <w:rPr>
                <w:rFonts w:cstheme="minorHAnsi"/>
                <w:w w:val="66"/>
                <w:sz w:val="18"/>
                <w:szCs w:val="18"/>
              </w:rPr>
              <w:t>NO FAVORABLE</w:t>
            </w:r>
          </w:p>
        </w:tc>
        <w:tc>
          <w:tcPr>
            <w:tcW w:w="992" w:type="dxa"/>
            <w:shd w:val="clear" w:color="auto" w:fill="FFFFFF" w:themeFill="background1"/>
            <w:vAlign w:val="center"/>
          </w:tcPr>
          <w:p w:rsidR="00670E5E" w:rsidRPr="00BE69A8" w:rsidRDefault="00670E5E" w:rsidP="00A375CD">
            <w:pPr>
              <w:ind w:left="-108" w:right="-108"/>
              <w:jc w:val="center"/>
              <w:rPr>
                <w:rFonts w:cstheme="minorHAnsi"/>
                <w:w w:val="66"/>
                <w:sz w:val="18"/>
                <w:szCs w:val="18"/>
              </w:rPr>
            </w:pPr>
            <w:r w:rsidRPr="00BE69A8">
              <w:rPr>
                <w:rFonts w:cstheme="minorHAnsi"/>
                <w:w w:val="66"/>
                <w:sz w:val="18"/>
                <w:szCs w:val="18"/>
              </w:rPr>
              <w:t>NO SOLVENTE</w:t>
            </w:r>
          </w:p>
        </w:tc>
      </w:tr>
      <w:tr w:rsidR="00670E5E" w:rsidRPr="00F22266" w:rsidTr="00C83B06">
        <w:trPr>
          <w:trHeight w:val="376"/>
        </w:trPr>
        <w:tc>
          <w:tcPr>
            <w:tcW w:w="3970" w:type="dxa"/>
            <w:shd w:val="clear" w:color="auto" w:fill="FFFFFF" w:themeFill="background1"/>
            <w:vAlign w:val="center"/>
          </w:tcPr>
          <w:p w:rsidR="00670E5E" w:rsidRPr="00F22266" w:rsidRDefault="00670E5E" w:rsidP="00F22266">
            <w:pPr>
              <w:ind w:right="-108"/>
              <w:rPr>
                <w:rFonts w:cstheme="minorHAnsi"/>
                <w:w w:val="90"/>
                <w:sz w:val="18"/>
                <w:szCs w:val="18"/>
              </w:rPr>
            </w:pPr>
            <w:r w:rsidRPr="00F22266">
              <w:rPr>
                <w:rFonts w:cstheme="minorHAnsi"/>
                <w:w w:val="90"/>
                <w:sz w:val="18"/>
                <w:szCs w:val="18"/>
              </w:rPr>
              <w:t>4.- PROSER EMPRESARIAL, S.A. DE C.V.</w:t>
            </w:r>
          </w:p>
        </w:tc>
        <w:tc>
          <w:tcPr>
            <w:tcW w:w="1275" w:type="dxa"/>
            <w:shd w:val="clear" w:color="auto" w:fill="FFFFFF" w:themeFill="background1"/>
            <w:vAlign w:val="center"/>
          </w:tcPr>
          <w:p w:rsidR="00670E5E" w:rsidRPr="00F22266" w:rsidRDefault="00670E5E" w:rsidP="00B85FAF">
            <w:pPr>
              <w:ind w:right="-108" w:hanging="108"/>
              <w:jc w:val="center"/>
              <w:rPr>
                <w:rFonts w:cstheme="minorHAnsi"/>
                <w:w w:val="90"/>
                <w:sz w:val="18"/>
                <w:szCs w:val="18"/>
              </w:rPr>
            </w:pPr>
            <w:r>
              <w:rPr>
                <w:rFonts w:cstheme="minorHAnsi"/>
                <w:w w:val="90"/>
                <w:sz w:val="18"/>
                <w:szCs w:val="18"/>
              </w:rPr>
              <w:t>$3’873,670.14</w:t>
            </w:r>
          </w:p>
        </w:tc>
        <w:tc>
          <w:tcPr>
            <w:tcW w:w="851" w:type="dxa"/>
            <w:shd w:val="clear" w:color="auto" w:fill="FFFFFF" w:themeFill="background1"/>
            <w:vAlign w:val="center"/>
          </w:tcPr>
          <w:p w:rsidR="00670E5E" w:rsidRPr="00A8709C" w:rsidRDefault="00670E5E" w:rsidP="00292706">
            <w:pPr>
              <w:ind w:right="-108" w:hanging="108"/>
              <w:jc w:val="center"/>
              <w:rPr>
                <w:rFonts w:cstheme="minorHAnsi"/>
                <w:w w:val="90"/>
                <w:sz w:val="18"/>
                <w:szCs w:val="18"/>
              </w:rPr>
            </w:pPr>
            <w:r>
              <w:rPr>
                <w:rFonts w:cstheme="minorHAnsi"/>
                <w:w w:val="90"/>
                <w:sz w:val="18"/>
                <w:szCs w:val="18"/>
              </w:rPr>
              <w:t>+4.88%</w:t>
            </w:r>
          </w:p>
        </w:tc>
        <w:tc>
          <w:tcPr>
            <w:tcW w:w="850" w:type="dxa"/>
            <w:shd w:val="clear" w:color="auto" w:fill="FFFFFF" w:themeFill="background1"/>
            <w:vAlign w:val="center"/>
          </w:tcPr>
          <w:p w:rsidR="00670E5E" w:rsidRPr="00292706" w:rsidRDefault="00670E5E" w:rsidP="00C95232">
            <w:pPr>
              <w:ind w:right="20"/>
              <w:jc w:val="center"/>
              <w:rPr>
                <w:rFonts w:ascii="Arial" w:hAnsi="Arial" w:cs="Arial"/>
                <w:w w:val="80"/>
                <w:sz w:val="18"/>
                <w:szCs w:val="18"/>
              </w:rPr>
            </w:pPr>
            <w:r w:rsidRPr="00292706">
              <w:rPr>
                <w:rFonts w:ascii="Arial" w:hAnsi="Arial" w:cs="Arial"/>
                <w:w w:val="80"/>
                <w:sz w:val="18"/>
                <w:szCs w:val="18"/>
              </w:rPr>
              <w:t>0</w:t>
            </w:r>
          </w:p>
        </w:tc>
        <w:tc>
          <w:tcPr>
            <w:tcW w:w="851" w:type="dxa"/>
            <w:shd w:val="clear" w:color="auto" w:fill="FFFFFF" w:themeFill="background1"/>
            <w:vAlign w:val="center"/>
          </w:tcPr>
          <w:p w:rsidR="00670E5E" w:rsidRPr="00292706" w:rsidRDefault="00670E5E" w:rsidP="00292706">
            <w:pPr>
              <w:ind w:right="20"/>
              <w:jc w:val="center"/>
              <w:rPr>
                <w:rFonts w:cstheme="minorHAnsi"/>
                <w:b/>
                <w:w w:val="90"/>
                <w:sz w:val="18"/>
                <w:szCs w:val="18"/>
                <w:lang w:val="es-ES"/>
              </w:rPr>
            </w:pPr>
            <w:r w:rsidRPr="00292706">
              <w:rPr>
                <w:rFonts w:cstheme="minorHAnsi"/>
                <w:b/>
                <w:w w:val="90"/>
                <w:sz w:val="18"/>
                <w:szCs w:val="18"/>
                <w:lang w:val="es-ES"/>
              </w:rPr>
              <w:t>*</w:t>
            </w:r>
          </w:p>
        </w:tc>
        <w:tc>
          <w:tcPr>
            <w:tcW w:w="992" w:type="dxa"/>
            <w:shd w:val="clear" w:color="auto" w:fill="FFFFFF" w:themeFill="background1"/>
            <w:vAlign w:val="center"/>
          </w:tcPr>
          <w:p w:rsidR="00670E5E" w:rsidRPr="00BE69A8" w:rsidRDefault="00670E5E" w:rsidP="0099133B">
            <w:pPr>
              <w:ind w:left="-108" w:right="-108"/>
              <w:jc w:val="center"/>
              <w:rPr>
                <w:rFonts w:cstheme="minorHAnsi"/>
                <w:w w:val="66"/>
                <w:sz w:val="18"/>
                <w:szCs w:val="18"/>
              </w:rPr>
            </w:pPr>
            <w:r w:rsidRPr="00BE69A8">
              <w:rPr>
                <w:rFonts w:cstheme="minorHAnsi"/>
                <w:w w:val="66"/>
                <w:sz w:val="18"/>
                <w:szCs w:val="18"/>
              </w:rPr>
              <w:t>FAVORABLE</w:t>
            </w:r>
          </w:p>
        </w:tc>
        <w:tc>
          <w:tcPr>
            <w:tcW w:w="992" w:type="dxa"/>
            <w:shd w:val="clear" w:color="auto" w:fill="FFFFFF" w:themeFill="background1"/>
            <w:vAlign w:val="center"/>
          </w:tcPr>
          <w:p w:rsidR="00670E5E" w:rsidRPr="00BE69A8" w:rsidRDefault="00670E5E" w:rsidP="00292706">
            <w:pPr>
              <w:ind w:left="-108" w:right="-108"/>
              <w:jc w:val="center"/>
              <w:rPr>
                <w:rFonts w:cstheme="minorHAnsi"/>
                <w:w w:val="66"/>
                <w:sz w:val="18"/>
                <w:szCs w:val="18"/>
              </w:rPr>
            </w:pPr>
            <w:r w:rsidRPr="00BE69A8">
              <w:rPr>
                <w:rFonts w:cstheme="minorHAnsi"/>
                <w:w w:val="66"/>
                <w:sz w:val="18"/>
                <w:szCs w:val="18"/>
              </w:rPr>
              <w:t>NO SOLVENTE</w:t>
            </w:r>
          </w:p>
        </w:tc>
      </w:tr>
      <w:tr w:rsidR="00670E5E" w:rsidRPr="00B66164" w:rsidTr="00C83B06">
        <w:trPr>
          <w:trHeight w:val="409"/>
        </w:trPr>
        <w:tc>
          <w:tcPr>
            <w:tcW w:w="9781" w:type="dxa"/>
            <w:gridSpan w:val="7"/>
            <w:shd w:val="clear" w:color="auto" w:fill="FFFFFF" w:themeFill="background1"/>
            <w:vAlign w:val="center"/>
          </w:tcPr>
          <w:p w:rsidR="00670E5E" w:rsidRPr="00BE69A8" w:rsidRDefault="00670E5E" w:rsidP="00F22266">
            <w:pPr>
              <w:ind w:right="20"/>
              <w:rPr>
                <w:rFonts w:cstheme="minorHAnsi"/>
                <w:b/>
                <w:sz w:val="18"/>
                <w:szCs w:val="19"/>
              </w:rPr>
            </w:pPr>
            <w:r w:rsidRPr="00BE69A8">
              <w:rPr>
                <w:rFonts w:cstheme="minorHAnsi"/>
                <w:b/>
                <w:sz w:val="18"/>
                <w:szCs w:val="19"/>
              </w:rPr>
              <w:t xml:space="preserve">PRESUPUESTO BASE                                                                                                                              </w:t>
            </w:r>
            <w:r w:rsidRPr="00710CC2">
              <w:rPr>
                <w:rFonts w:cstheme="minorHAnsi"/>
                <w:b/>
                <w:noProof/>
                <w:sz w:val="18"/>
                <w:szCs w:val="19"/>
              </w:rPr>
              <w:t>$3'693,448.80</w:t>
            </w:r>
            <w:r w:rsidRPr="00BE69A8">
              <w:rPr>
                <w:rFonts w:cstheme="minorHAnsi"/>
                <w:b/>
                <w:noProof/>
                <w:sz w:val="18"/>
                <w:szCs w:val="19"/>
              </w:rPr>
              <w:t xml:space="preserve">  </w:t>
            </w:r>
            <w:r w:rsidRPr="00BE69A8">
              <w:rPr>
                <w:rFonts w:cstheme="minorHAnsi"/>
                <w:b/>
                <w:sz w:val="18"/>
                <w:szCs w:val="19"/>
              </w:rPr>
              <w:t>(IVA  INCLUIDO)</w:t>
            </w:r>
          </w:p>
        </w:tc>
      </w:tr>
    </w:tbl>
    <w:p w:rsidR="00670E5E" w:rsidRPr="00C83B06" w:rsidRDefault="00670E5E" w:rsidP="00A375CD">
      <w:pPr>
        <w:pStyle w:val="Sinespaciado"/>
        <w:jc w:val="both"/>
        <w:rPr>
          <w:rFonts w:cstheme="minorHAnsi"/>
          <w:b/>
          <w:w w:val="90"/>
          <w:sz w:val="10"/>
          <w:szCs w:val="18"/>
        </w:rPr>
      </w:pPr>
    </w:p>
    <w:p w:rsidR="00670E5E" w:rsidRDefault="00670E5E" w:rsidP="002B5463">
      <w:pPr>
        <w:pStyle w:val="Sinespaciado"/>
        <w:jc w:val="both"/>
        <w:rPr>
          <w:rFonts w:asciiTheme="minorHAnsi" w:hAnsiTheme="minorHAnsi" w:cstheme="minorHAnsi"/>
          <w:sz w:val="18"/>
        </w:rPr>
      </w:pPr>
      <w:r w:rsidRPr="00A04AB5">
        <w:rPr>
          <w:rFonts w:cstheme="minorHAnsi"/>
          <w:b/>
          <w:w w:val="90"/>
          <w:sz w:val="18"/>
          <w:szCs w:val="18"/>
        </w:rPr>
        <w:t>*</w:t>
      </w:r>
      <w:r>
        <w:rPr>
          <w:rFonts w:asciiTheme="minorHAnsi" w:hAnsiTheme="minorHAnsi" w:cstheme="minorHAnsi"/>
          <w:sz w:val="18"/>
        </w:rPr>
        <w:t>La</w:t>
      </w:r>
      <w:r w:rsidRPr="00A04AB5">
        <w:rPr>
          <w:rFonts w:asciiTheme="minorHAnsi" w:hAnsiTheme="minorHAnsi" w:cstheme="minorHAnsi"/>
          <w:sz w:val="18"/>
        </w:rPr>
        <w:t xml:space="preserve"> evaluación </w:t>
      </w:r>
      <w:r>
        <w:rPr>
          <w:rFonts w:asciiTheme="minorHAnsi" w:hAnsiTheme="minorHAnsi" w:cstheme="minorHAnsi"/>
          <w:sz w:val="18"/>
        </w:rPr>
        <w:t>de la propuesta econó</w:t>
      </w:r>
      <w:r w:rsidRPr="00A04AB5">
        <w:rPr>
          <w:rFonts w:asciiTheme="minorHAnsi" w:hAnsiTheme="minorHAnsi" w:cstheme="minorHAnsi"/>
          <w:sz w:val="18"/>
        </w:rPr>
        <w:t>mica</w:t>
      </w:r>
      <w:r>
        <w:rPr>
          <w:rFonts w:asciiTheme="minorHAnsi" w:hAnsiTheme="minorHAnsi" w:cstheme="minorHAnsi"/>
          <w:sz w:val="18"/>
        </w:rPr>
        <w:t xml:space="preserve"> no resulta procedente, toda vez que en la </w:t>
      </w:r>
      <w:r w:rsidRPr="00A04AB5">
        <w:rPr>
          <w:rFonts w:asciiTheme="minorHAnsi" w:hAnsiTheme="minorHAnsi" w:cstheme="minorHAnsi"/>
          <w:sz w:val="18"/>
        </w:rPr>
        <w:t xml:space="preserve">evaluación técnica se </w:t>
      </w:r>
      <w:r>
        <w:rPr>
          <w:rFonts w:asciiTheme="minorHAnsi" w:hAnsiTheme="minorHAnsi" w:cstheme="minorHAnsi"/>
          <w:sz w:val="18"/>
        </w:rPr>
        <w:t>considera como una propuesta</w:t>
      </w:r>
      <w:r w:rsidRPr="00A04AB5">
        <w:rPr>
          <w:rFonts w:asciiTheme="minorHAnsi" w:hAnsiTheme="minorHAnsi" w:cstheme="minorHAnsi"/>
          <w:sz w:val="18"/>
        </w:rPr>
        <w:t xml:space="preserve"> </w:t>
      </w:r>
      <w:r>
        <w:rPr>
          <w:rFonts w:asciiTheme="minorHAnsi" w:hAnsiTheme="minorHAnsi" w:cstheme="minorHAnsi"/>
          <w:sz w:val="18"/>
        </w:rPr>
        <w:t>“</w:t>
      </w:r>
      <w:r w:rsidRPr="00A04AB5">
        <w:rPr>
          <w:rFonts w:asciiTheme="minorHAnsi" w:hAnsiTheme="minorHAnsi" w:cstheme="minorHAnsi"/>
          <w:sz w:val="18"/>
        </w:rPr>
        <w:t>No Solvente</w:t>
      </w:r>
      <w:r>
        <w:rPr>
          <w:rFonts w:asciiTheme="minorHAnsi" w:hAnsiTheme="minorHAnsi" w:cstheme="minorHAnsi"/>
          <w:sz w:val="18"/>
        </w:rPr>
        <w:t xml:space="preserve">” por las razones que se señalan en el Dictamen Resolutivo Técnico </w:t>
      </w:r>
      <w:r w:rsidRPr="00A04AB5">
        <w:rPr>
          <w:rFonts w:asciiTheme="minorHAnsi" w:hAnsiTheme="minorHAnsi" w:cstheme="minorHAnsi"/>
          <w:sz w:val="18"/>
        </w:rPr>
        <w:t>(ver Anexo</w:t>
      </w:r>
      <w:r>
        <w:rPr>
          <w:rFonts w:asciiTheme="minorHAnsi" w:hAnsiTheme="minorHAnsi" w:cstheme="minorHAnsi"/>
          <w:sz w:val="18"/>
        </w:rPr>
        <w:t>s</w:t>
      </w:r>
      <w:r w:rsidRPr="00A04AB5">
        <w:rPr>
          <w:rFonts w:asciiTheme="minorHAnsi" w:hAnsiTheme="minorHAnsi" w:cstheme="minorHAnsi"/>
          <w:sz w:val="18"/>
        </w:rPr>
        <w:t xml:space="preserve"> </w:t>
      </w:r>
      <w:r>
        <w:rPr>
          <w:rFonts w:asciiTheme="minorHAnsi" w:hAnsiTheme="minorHAnsi" w:cstheme="minorHAnsi"/>
          <w:sz w:val="18"/>
        </w:rPr>
        <w:t>9 y 10</w:t>
      </w:r>
      <w:r w:rsidRPr="00A04AB5">
        <w:rPr>
          <w:rFonts w:asciiTheme="minorHAnsi" w:hAnsiTheme="minorHAnsi" w:cstheme="minorHAnsi"/>
          <w:sz w:val="18"/>
        </w:rPr>
        <w:t>).</w:t>
      </w:r>
    </w:p>
    <w:p w:rsidR="00670E5E" w:rsidRPr="00071FB8" w:rsidRDefault="00670E5E" w:rsidP="002B5463">
      <w:pPr>
        <w:pStyle w:val="Sinespaciado"/>
        <w:jc w:val="both"/>
        <w:rPr>
          <w:rFonts w:asciiTheme="minorHAnsi" w:hAnsiTheme="minorHAnsi" w:cstheme="minorHAnsi"/>
          <w:sz w:val="14"/>
        </w:rPr>
      </w:pPr>
    </w:p>
    <w:p w:rsidR="00670E5E" w:rsidRDefault="00670E5E" w:rsidP="00F26CDE">
      <w:pPr>
        <w:pStyle w:val="Sinespaciado"/>
        <w:jc w:val="both"/>
        <w:rPr>
          <w:rFonts w:asciiTheme="minorHAnsi" w:hAnsiTheme="minorHAnsi" w:cstheme="minorHAnsi"/>
          <w:sz w:val="18"/>
        </w:rPr>
      </w:pPr>
      <w:r w:rsidRPr="00A35CA6">
        <w:rPr>
          <w:rFonts w:asciiTheme="minorHAnsi" w:hAnsiTheme="minorHAnsi" w:cstheme="minorHAnsi"/>
          <w:sz w:val="18"/>
        </w:rPr>
        <w:t xml:space="preserve">En el Acta de </w:t>
      </w:r>
      <w:r w:rsidRPr="001244E4">
        <w:rPr>
          <w:rFonts w:cstheme="minorHAnsi"/>
          <w:sz w:val="18"/>
        </w:rPr>
        <w:t xml:space="preserve">Apertura de </w:t>
      </w:r>
      <w:r>
        <w:rPr>
          <w:rFonts w:cstheme="minorHAnsi"/>
          <w:sz w:val="18"/>
        </w:rPr>
        <w:t xml:space="preserve">Presentación y Apertura de </w:t>
      </w:r>
      <w:r w:rsidRPr="001244E4">
        <w:rPr>
          <w:rFonts w:cstheme="minorHAnsi"/>
          <w:sz w:val="18"/>
        </w:rPr>
        <w:t>Propuesta</w:t>
      </w:r>
      <w:r>
        <w:rPr>
          <w:rFonts w:cstheme="minorHAnsi"/>
          <w:sz w:val="18"/>
        </w:rPr>
        <w:t xml:space="preserve">s </w:t>
      </w:r>
      <w:r w:rsidRPr="00A35CA6">
        <w:rPr>
          <w:rFonts w:asciiTheme="minorHAnsi" w:hAnsiTheme="minorHAnsi" w:cstheme="minorHAnsi"/>
          <w:sz w:val="18"/>
        </w:rPr>
        <w:t xml:space="preserve">se asentó que </w:t>
      </w:r>
      <w:r>
        <w:rPr>
          <w:rFonts w:asciiTheme="minorHAnsi" w:hAnsiTheme="minorHAnsi" w:cstheme="minorHAnsi"/>
          <w:sz w:val="18"/>
        </w:rPr>
        <w:t xml:space="preserve">algunas </w:t>
      </w:r>
      <w:r w:rsidRPr="00A35CA6">
        <w:rPr>
          <w:rFonts w:asciiTheme="minorHAnsi" w:hAnsiTheme="minorHAnsi" w:cstheme="minorHAnsi"/>
          <w:sz w:val="18"/>
        </w:rPr>
        <w:t xml:space="preserve">empresas no presentaron la totalidad de la documentación para la Evaluación Financiera, y conforme a lo señalado en </w:t>
      </w:r>
      <w:r>
        <w:rPr>
          <w:rFonts w:asciiTheme="minorHAnsi" w:hAnsiTheme="minorHAnsi" w:cstheme="minorHAnsi"/>
          <w:sz w:val="18"/>
        </w:rPr>
        <w:t xml:space="preserve">el artículo 325 del Acuerdo General </w:t>
      </w:r>
      <w:r w:rsidRPr="004D5883">
        <w:rPr>
          <w:rFonts w:asciiTheme="minorHAnsi" w:hAnsiTheme="minorHAnsi" w:cstheme="minorHAnsi"/>
          <w:sz w:val="18"/>
        </w:rPr>
        <w:t>del Pleno del Consejo de la Judicatura Federal, que establece las disposiciones en materia de actividad administrativa del propio Consejo</w:t>
      </w:r>
      <w:r>
        <w:rPr>
          <w:rFonts w:asciiTheme="minorHAnsi" w:hAnsiTheme="minorHAnsi" w:cstheme="minorHAnsi"/>
          <w:sz w:val="18"/>
        </w:rPr>
        <w:t>, se les previno para que presentaran en un término máximo de tres días hábiles la información pertinente:</w:t>
      </w:r>
    </w:p>
    <w:p w:rsidR="00670E5E" w:rsidRDefault="00670E5E" w:rsidP="002B5463">
      <w:pPr>
        <w:pStyle w:val="Sinespaciado"/>
        <w:jc w:val="both"/>
        <w:rPr>
          <w:rFonts w:asciiTheme="minorHAnsi" w:hAnsiTheme="minorHAnsi" w:cstheme="minorHAnsi"/>
          <w:sz w:val="18"/>
        </w:rPr>
      </w:pPr>
      <w:r w:rsidRPr="0080707D">
        <w:rPr>
          <w:rFonts w:asciiTheme="minorHAnsi" w:hAnsiTheme="minorHAnsi" w:cstheme="minorHAnsi"/>
          <w:b/>
          <w:sz w:val="18"/>
        </w:rPr>
        <w:t>**</w:t>
      </w:r>
      <w:r w:rsidRPr="005D0C65">
        <w:rPr>
          <w:rFonts w:cstheme="minorHAnsi"/>
          <w:b/>
          <w:snapToGrid w:val="0"/>
          <w:sz w:val="18"/>
          <w:szCs w:val="16"/>
          <w:lang w:val="es-ES_tradnl"/>
        </w:rPr>
        <w:t>NO entregaron</w:t>
      </w:r>
      <w:r w:rsidRPr="0080707D">
        <w:rPr>
          <w:rFonts w:cstheme="minorHAnsi"/>
          <w:snapToGrid w:val="0"/>
          <w:sz w:val="18"/>
          <w:szCs w:val="16"/>
          <w:lang w:val="es-ES_tradnl"/>
        </w:rPr>
        <w:t xml:space="preserve"> la documentación requerida en el plazo estipulado </w:t>
      </w:r>
      <w:r w:rsidRPr="0080707D">
        <w:rPr>
          <w:rFonts w:asciiTheme="minorHAnsi" w:hAnsiTheme="minorHAnsi" w:cstheme="minorHAnsi"/>
          <w:sz w:val="18"/>
        </w:rPr>
        <w:t>de tres días hábiles</w:t>
      </w:r>
      <w:r>
        <w:rPr>
          <w:rFonts w:asciiTheme="minorHAnsi" w:hAnsiTheme="minorHAnsi" w:cstheme="minorHAnsi"/>
          <w:sz w:val="18"/>
        </w:rPr>
        <w:t xml:space="preserve"> </w:t>
      </w:r>
      <w:r w:rsidRPr="0080707D">
        <w:rPr>
          <w:rFonts w:asciiTheme="minorHAnsi" w:hAnsiTheme="minorHAnsi" w:cstheme="minorHAnsi"/>
          <w:sz w:val="18"/>
        </w:rPr>
        <w:t xml:space="preserve">(ver Anexos </w:t>
      </w:r>
      <w:r>
        <w:rPr>
          <w:rFonts w:asciiTheme="minorHAnsi" w:hAnsiTheme="minorHAnsi" w:cstheme="minorHAnsi"/>
          <w:sz w:val="18"/>
        </w:rPr>
        <w:t>7</w:t>
      </w:r>
      <w:r w:rsidRPr="0080707D">
        <w:rPr>
          <w:rFonts w:asciiTheme="minorHAnsi" w:hAnsiTheme="minorHAnsi" w:cstheme="minorHAnsi"/>
          <w:sz w:val="18"/>
        </w:rPr>
        <w:t xml:space="preserve"> y </w:t>
      </w:r>
      <w:r>
        <w:rPr>
          <w:rFonts w:asciiTheme="minorHAnsi" w:hAnsiTheme="minorHAnsi" w:cstheme="minorHAnsi"/>
          <w:sz w:val="18"/>
        </w:rPr>
        <w:t>8</w:t>
      </w:r>
      <w:r w:rsidRPr="0080707D">
        <w:rPr>
          <w:rFonts w:asciiTheme="minorHAnsi" w:hAnsiTheme="minorHAnsi" w:cstheme="minorHAnsi"/>
          <w:sz w:val="18"/>
        </w:rPr>
        <w:t xml:space="preserve">). </w:t>
      </w:r>
    </w:p>
    <w:p w:rsidR="00670E5E" w:rsidRPr="00071FB8" w:rsidRDefault="00670E5E" w:rsidP="002B5463">
      <w:pPr>
        <w:pStyle w:val="Sinespaciado"/>
        <w:jc w:val="both"/>
        <w:rPr>
          <w:rFonts w:asciiTheme="minorHAnsi" w:hAnsiTheme="minorHAnsi" w:cstheme="minorHAnsi"/>
          <w:sz w:val="14"/>
        </w:rPr>
      </w:pPr>
    </w:p>
    <w:p w:rsidR="00670E5E" w:rsidRDefault="00670E5E" w:rsidP="00F26CDE">
      <w:pPr>
        <w:spacing w:after="0" w:line="240" w:lineRule="auto"/>
        <w:jc w:val="both"/>
        <w:rPr>
          <w:rFonts w:eastAsia="Calibri" w:cstheme="minorHAnsi"/>
          <w:sz w:val="18"/>
        </w:rPr>
      </w:pPr>
      <w:r w:rsidRPr="00E17A7F">
        <w:rPr>
          <w:rFonts w:eastAsia="Calibri" w:cstheme="minorHAnsi"/>
          <w:b/>
          <w:sz w:val="18"/>
        </w:rPr>
        <w:t>Nota No 1.-</w:t>
      </w:r>
      <w:r w:rsidRPr="00E17A7F">
        <w:rPr>
          <w:sz w:val="24"/>
        </w:rPr>
        <w:t xml:space="preserve"> </w:t>
      </w:r>
      <w:r w:rsidRPr="001244E4">
        <w:rPr>
          <w:rFonts w:eastAsia="Calibri" w:cstheme="minorHAnsi"/>
          <w:sz w:val="18"/>
        </w:rPr>
        <w:t xml:space="preserve">En el </w:t>
      </w:r>
      <w:r>
        <w:rPr>
          <w:rFonts w:eastAsia="Calibri" w:cstheme="minorHAnsi"/>
          <w:sz w:val="18"/>
        </w:rPr>
        <w:t>A</w:t>
      </w:r>
      <w:r w:rsidRPr="001244E4">
        <w:rPr>
          <w:rFonts w:eastAsia="Calibri" w:cstheme="minorHAnsi"/>
          <w:sz w:val="18"/>
        </w:rPr>
        <w:t xml:space="preserve">cta de </w:t>
      </w:r>
      <w:r>
        <w:rPr>
          <w:rFonts w:eastAsia="Calibri" w:cstheme="minorHAnsi"/>
          <w:sz w:val="18"/>
        </w:rPr>
        <w:t xml:space="preserve">Presentación y Apertura de </w:t>
      </w:r>
      <w:r w:rsidRPr="001244E4">
        <w:rPr>
          <w:rFonts w:eastAsia="Calibri" w:cstheme="minorHAnsi"/>
          <w:sz w:val="18"/>
        </w:rPr>
        <w:t>Propuesta</w:t>
      </w:r>
      <w:r>
        <w:rPr>
          <w:rFonts w:eastAsia="Calibri" w:cstheme="minorHAnsi"/>
          <w:sz w:val="18"/>
        </w:rPr>
        <w:t xml:space="preserve">s se observó que </w:t>
      </w:r>
      <w:r w:rsidRPr="001E1D7A">
        <w:rPr>
          <w:rFonts w:eastAsia="Calibri" w:cstheme="minorHAnsi"/>
          <w:sz w:val="18"/>
        </w:rPr>
        <w:t xml:space="preserve">el importe presentado </w:t>
      </w:r>
      <w:r>
        <w:rPr>
          <w:rFonts w:eastAsia="Calibri" w:cstheme="minorHAnsi"/>
          <w:sz w:val="18"/>
        </w:rPr>
        <w:t>en el Documento E-1 “Carta Propuesta” por $3’753,</w:t>
      </w:r>
      <w:r w:rsidRPr="00292706">
        <w:rPr>
          <w:rFonts w:eastAsia="Calibri" w:cstheme="minorHAnsi"/>
          <w:sz w:val="18"/>
          <w:u w:val="single"/>
        </w:rPr>
        <w:t>695</w:t>
      </w:r>
      <w:r>
        <w:rPr>
          <w:rFonts w:eastAsia="Calibri" w:cstheme="minorHAnsi"/>
          <w:sz w:val="18"/>
        </w:rPr>
        <w:t>.95 IVA incluido, no corresponde con la suma del subtotal y el IVA, que es de $3</w:t>
      </w:r>
      <w:r w:rsidRPr="001E1D7A">
        <w:rPr>
          <w:rFonts w:eastAsia="Calibri" w:cstheme="minorHAnsi"/>
          <w:sz w:val="18"/>
        </w:rPr>
        <w:t>´</w:t>
      </w:r>
      <w:r>
        <w:rPr>
          <w:rFonts w:eastAsia="Calibri" w:cstheme="minorHAnsi"/>
          <w:sz w:val="18"/>
        </w:rPr>
        <w:t>753,</w:t>
      </w:r>
      <w:r w:rsidRPr="00292706">
        <w:rPr>
          <w:rFonts w:eastAsia="Calibri" w:cstheme="minorHAnsi"/>
          <w:sz w:val="18"/>
          <w:u w:val="single"/>
        </w:rPr>
        <w:t>659</w:t>
      </w:r>
      <w:r>
        <w:rPr>
          <w:rFonts w:eastAsia="Calibri" w:cstheme="minorHAnsi"/>
          <w:sz w:val="18"/>
        </w:rPr>
        <w:t xml:space="preserve">.95 IVA incluido, por lo tanto aplica lo señalado en el </w:t>
      </w:r>
      <w:r w:rsidRPr="001E1D7A">
        <w:rPr>
          <w:rFonts w:eastAsia="Calibri" w:cstheme="minorHAnsi"/>
          <w:sz w:val="18"/>
        </w:rPr>
        <w:t>numeral 8.4</w:t>
      </w:r>
      <w:r>
        <w:rPr>
          <w:rFonts w:eastAsia="Calibri" w:cstheme="minorHAnsi"/>
          <w:sz w:val="18"/>
        </w:rPr>
        <w:t xml:space="preserve"> E-1, de</w:t>
      </w:r>
      <w:r w:rsidRPr="001E1D7A">
        <w:rPr>
          <w:rFonts w:eastAsia="Calibri" w:cstheme="minorHAnsi"/>
          <w:sz w:val="18"/>
        </w:rPr>
        <w:t xml:space="preserve"> las </w:t>
      </w:r>
      <w:r>
        <w:rPr>
          <w:rFonts w:eastAsia="Calibri" w:cstheme="minorHAnsi"/>
          <w:sz w:val="18"/>
        </w:rPr>
        <w:t>B</w:t>
      </w:r>
      <w:r w:rsidRPr="001E1D7A">
        <w:rPr>
          <w:rFonts w:eastAsia="Calibri" w:cstheme="minorHAnsi"/>
          <w:sz w:val="18"/>
        </w:rPr>
        <w:t>ases del procedimiento,</w:t>
      </w:r>
      <w:r w:rsidRPr="00E17A7F">
        <w:rPr>
          <w:rFonts w:eastAsia="Calibri" w:cstheme="minorHAnsi"/>
          <w:sz w:val="18"/>
        </w:rPr>
        <w:t xml:space="preserve"> </w:t>
      </w:r>
      <w:r>
        <w:rPr>
          <w:rFonts w:eastAsia="Calibri" w:cstheme="minorHAnsi"/>
          <w:sz w:val="18"/>
        </w:rPr>
        <w:t>que dice:</w:t>
      </w:r>
    </w:p>
    <w:p w:rsidR="00670E5E" w:rsidRPr="009C4D92" w:rsidRDefault="00670E5E" w:rsidP="00F26CDE">
      <w:pPr>
        <w:spacing w:after="0" w:line="240" w:lineRule="auto"/>
        <w:jc w:val="both"/>
        <w:rPr>
          <w:rFonts w:eastAsia="Calibri" w:cstheme="minorHAnsi"/>
          <w:sz w:val="12"/>
        </w:rPr>
      </w:pPr>
    </w:p>
    <w:p w:rsidR="00670E5E" w:rsidRDefault="00670E5E" w:rsidP="009C4D92">
      <w:pPr>
        <w:spacing w:after="0" w:line="240" w:lineRule="auto"/>
        <w:ind w:left="426" w:right="616"/>
        <w:jc w:val="both"/>
        <w:rPr>
          <w:rFonts w:eastAsia="Calibri" w:cstheme="minorHAnsi"/>
          <w:i/>
          <w:sz w:val="18"/>
        </w:rPr>
      </w:pPr>
      <w:r w:rsidRPr="009C4D92">
        <w:rPr>
          <w:rFonts w:eastAsia="Calibri" w:cstheme="minorHAnsi"/>
          <w:i/>
          <w:sz w:val="18"/>
        </w:rPr>
        <w:t>“</w:t>
      </w:r>
      <w:r w:rsidRPr="009C4D92">
        <w:rPr>
          <w:rFonts w:eastAsia="Calibri" w:cstheme="minorHAnsi"/>
          <w:b/>
          <w:i/>
          <w:sz w:val="18"/>
        </w:rPr>
        <w:t>E-1  Carta de la Propuesta</w:t>
      </w:r>
      <w:r w:rsidRPr="009C4D92">
        <w:rPr>
          <w:rFonts w:eastAsia="Calibri" w:cstheme="minorHAnsi"/>
          <w:i/>
          <w:sz w:val="18"/>
        </w:rPr>
        <w:t xml:space="preserve"> indicando el monto total de la póliza de mantenimiento desglosando el IVA señalando el plazo de ejecución, de acuerdo al formato proporcionado por el “Consejo” en el </w:t>
      </w:r>
      <w:r>
        <w:rPr>
          <w:rFonts w:eastAsia="Calibri" w:cstheme="minorHAnsi"/>
          <w:i/>
          <w:sz w:val="18"/>
        </w:rPr>
        <w:t>A</w:t>
      </w:r>
      <w:r w:rsidRPr="009C4D92">
        <w:rPr>
          <w:rFonts w:eastAsia="Calibri" w:cstheme="minorHAnsi"/>
          <w:i/>
          <w:sz w:val="18"/>
        </w:rPr>
        <w:t>nexo 8</w:t>
      </w:r>
      <w:r>
        <w:rPr>
          <w:rFonts w:eastAsia="Calibri" w:cstheme="minorHAnsi"/>
          <w:i/>
          <w:sz w:val="18"/>
        </w:rPr>
        <w:t>.</w:t>
      </w:r>
    </w:p>
    <w:p w:rsidR="00670E5E" w:rsidRPr="009C4D92" w:rsidRDefault="00670E5E" w:rsidP="009C4D92">
      <w:pPr>
        <w:spacing w:after="0" w:line="240" w:lineRule="auto"/>
        <w:ind w:left="426" w:right="616"/>
        <w:jc w:val="both"/>
        <w:rPr>
          <w:rFonts w:eastAsia="Calibri" w:cstheme="minorHAnsi"/>
          <w:i/>
          <w:sz w:val="10"/>
        </w:rPr>
      </w:pPr>
    </w:p>
    <w:p w:rsidR="00670E5E" w:rsidRPr="001C6103" w:rsidRDefault="00670E5E" w:rsidP="009C4D92">
      <w:pPr>
        <w:spacing w:after="0" w:line="240" w:lineRule="auto"/>
        <w:ind w:left="426" w:right="616"/>
        <w:jc w:val="both"/>
        <w:rPr>
          <w:rFonts w:eastAsia="Calibri" w:cstheme="minorHAnsi"/>
          <w:b/>
          <w:i/>
          <w:sz w:val="18"/>
        </w:rPr>
      </w:pPr>
      <w:r w:rsidRPr="009C4D92">
        <w:rPr>
          <w:rFonts w:eastAsia="Calibri" w:cstheme="minorHAnsi"/>
          <w:i/>
          <w:sz w:val="18"/>
        </w:rPr>
        <w:t xml:space="preserve">Se verificará que el importe esté debidamente consignado (número y letra) incluya el IVA y coincida con el importe referido en él. </w:t>
      </w:r>
      <w:r w:rsidRPr="001C6103">
        <w:rPr>
          <w:rFonts w:eastAsia="Calibri" w:cstheme="minorHAnsi"/>
          <w:b/>
          <w:i/>
          <w:sz w:val="18"/>
        </w:rPr>
        <w:t xml:space="preserve">En caso de existir diferencia entre estos o exista alguna falla en las operaciones aritméticas de la Carta de la Propuesta, prevalecerá lo indicado en el Presupuesto y será el que se considere como el importe de la propuesta”. </w:t>
      </w:r>
    </w:p>
    <w:p w:rsidR="00670E5E" w:rsidRDefault="00670E5E" w:rsidP="00F7426C">
      <w:pPr>
        <w:pStyle w:val="Sinespaciado"/>
        <w:rPr>
          <w:rFonts w:asciiTheme="minorHAnsi" w:hAnsiTheme="minorHAnsi" w:cstheme="minorHAnsi"/>
          <w:b/>
        </w:rPr>
      </w:pPr>
    </w:p>
    <w:p w:rsidR="00670E5E" w:rsidRDefault="00670E5E" w:rsidP="00F7426C">
      <w:pPr>
        <w:pStyle w:val="Sinespaciado"/>
        <w:rPr>
          <w:rFonts w:asciiTheme="minorHAnsi" w:hAnsiTheme="minorHAnsi" w:cstheme="minorHAnsi"/>
          <w:b/>
        </w:rPr>
      </w:pPr>
    </w:p>
    <w:p w:rsidR="00670E5E" w:rsidRDefault="00670E5E" w:rsidP="00F7426C">
      <w:pPr>
        <w:pStyle w:val="Sinespaciado"/>
        <w:rPr>
          <w:rFonts w:asciiTheme="minorHAnsi" w:hAnsiTheme="minorHAnsi" w:cstheme="minorHAnsi"/>
          <w:b/>
        </w:rPr>
      </w:pPr>
      <w:r w:rsidRPr="00D9572E">
        <w:rPr>
          <w:rFonts w:asciiTheme="minorHAnsi" w:hAnsiTheme="minorHAnsi" w:cstheme="minorHAnsi"/>
          <w:b/>
        </w:rPr>
        <w:t>INCIDENCIAS PRESENTADAS DURANTE EL PROCEDIMIENTO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670E5E" w:rsidRPr="00D9572E" w:rsidTr="00514AB1">
        <w:trPr>
          <w:trHeight w:val="1871"/>
        </w:trPr>
        <w:tc>
          <w:tcPr>
            <w:tcW w:w="9828" w:type="dxa"/>
            <w:vAlign w:val="center"/>
          </w:tcPr>
          <w:p w:rsidR="00670E5E" w:rsidRDefault="00670E5E" w:rsidP="00C83B06">
            <w:pPr>
              <w:pStyle w:val="Sinespaciado"/>
              <w:jc w:val="both"/>
              <w:rPr>
                <w:rFonts w:cstheme="minorHAnsi"/>
                <w:lang w:val="es-ES"/>
              </w:rPr>
            </w:pPr>
            <w:r w:rsidRPr="00E33406">
              <w:rPr>
                <w:rFonts w:cstheme="minorHAnsi"/>
              </w:rPr>
              <w:t>Atendiendo lo que señala el</w:t>
            </w:r>
            <w:r w:rsidRPr="00E33406">
              <w:rPr>
                <w:rFonts w:cstheme="minorHAnsi"/>
                <w:lang w:val="es-ES_tradnl"/>
              </w:rPr>
              <w:t xml:space="preserve"> numeral </w:t>
            </w:r>
            <w:r w:rsidRPr="00E33406">
              <w:rPr>
                <w:rFonts w:cstheme="minorHAnsi"/>
                <w:b/>
                <w:lang w:val="es-ES_tradnl"/>
              </w:rPr>
              <w:t>5.2 “Actas</w:t>
            </w:r>
            <w:r w:rsidRPr="00E33406">
              <w:rPr>
                <w:rFonts w:cstheme="minorHAnsi"/>
                <w:lang w:val="es-ES_tradnl"/>
              </w:rPr>
              <w:t xml:space="preserve">”, de las Bases del procedimiento, un ejemplar de las Actas de Junta de Aclaraciones y de la Apertura de Propuestas, se colocaron en </w:t>
            </w:r>
            <w:r w:rsidRPr="00E33406">
              <w:rPr>
                <w:rFonts w:cstheme="minorHAnsi"/>
                <w:lang w:val="es-ES"/>
              </w:rPr>
              <w:t>el área de recepción de las oficinas de la Dirección</w:t>
            </w:r>
            <w:r w:rsidRPr="00E33406">
              <w:rPr>
                <w:rFonts w:cstheme="minorHAnsi"/>
              </w:rPr>
              <w:t xml:space="preserve"> de Presupuestos y Concursos,</w:t>
            </w:r>
            <w:r w:rsidRPr="00E33406">
              <w:rPr>
                <w:rFonts w:cstheme="minorHAnsi"/>
                <w:lang w:val="es-ES"/>
              </w:rPr>
              <w:t xml:space="preserve"> para consulta de los interesados, por un lapso de cinco días hábiles contados a partir del día de su emisión, como consta en las Constancias de Fijación de Actas respectivas.</w:t>
            </w:r>
          </w:p>
          <w:p w:rsidR="00670E5E" w:rsidRPr="00E33406" w:rsidRDefault="00670E5E" w:rsidP="00D426FC">
            <w:pPr>
              <w:pStyle w:val="Sinespaciado"/>
              <w:jc w:val="right"/>
              <w:rPr>
                <w:rFonts w:asciiTheme="minorHAnsi" w:hAnsiTheme="minorHAnsi" w:cstheme="minorHAnsi"/>
              </w:rPr>
            </w:pPr>
            <w:r>
              <w:rPr>
                <w:rFonts w:cstheme="minorHAnsi"/>
                <w:lang w:val="es-ES"/>
              </w:rPr>
              <w:t xml:space="preserve">                                       </w:t>
            </w:r>
            <w:r w:rsidRPr="00E33406">
              <w:rPr>
                <w:rFonts w:cstheme="minorHAnsi"/>
                <w:lang w:val="es-ES"/>
              </w:rPr>
              <w:t xml:space="preserve">                                                                                                      </w:t>
            </w:r>
            <w:r w:rsidRPr="00E33406">
              <w:rPr>
                <w:rFonts w:cstheme="minorHAnsi"/>
                <w:b/>
              </w:rPr>
              <w:t>(Anexo 1</w:t>
            </w:r>
            <w:r>
              <w:rPr>
                <w:rFonts w:cstheme="minorHAnsi"/>
                <w:b/>
              </w:rPr>
              <w:t>1</w:t>
            </w:r>
            <w:r w:rsidRPr="00E33406">
              <w:rPr>
                <w:rFonts w:cstheme="minorHAnsi"/>
                <w:b/>
              </w:rPr>
              <w:t>)</w:t>
            </w:r>
          </w:p>
        </w:tc>
      </w:tr>
    </w:tbl>
    <w:p w:rsidR="00670E5E" w:rsidRDefault="00670E5E" w:rsidP="00C83B06">
      <w:pPr>
        <w:spacing w:after="0" w:line="240" w:lineRule="auto"/>
        <w:rPr>
          <w:rFonts w:eastAsia="Calibri" w:cstheme="minorHAnsi"/>
          <w:sz w:val="24"/>
        </w:rPr>
      </w:pPr>
    </w:p>
    <w:p w:rsidR="00670E5E" w:rsidRDefault="00670E5E" w:rsidP="00C83B06">
      <w:pPr>
        <w:spacing w:after="0" w:line="240" w:lineRule="auto"/>
        <w:rPr>
          <w:rFonts w:eastAsia="Calibri" w:cstheme="minorHAnsi"/>
          <w:sz w:val="24"/>
        </w:rPr>
      </w:pPr>
    </w:p>
    <w:p w:rsidR="00670E5E" w:rsidRPr="00667E85" w:rsidRDefault="00670E5E" w:rsidP="00C83B06">
      <w:pPr>
        <w:spacing w:after="0" w:line="240" w:lineRule="auto"/>
        <w:rPr>
          <w:rFonts w:cstheme="minorHAnsi"/>
          <w:b/>
        </w:rPr>
      </w:pPr>
      <w:r w:rsidRPr="00667E85">
        <w:rPr>
          <w:rFonts w:cstheme="minorHAnsi"/>
          <w:b/>
        </w:rPr>
        <w:t>FUNDAMENTO LEGAL</w:t>
      </w:r>
    </w:p>
    <w:p w:rsidR="00670E5E" w:rsidRDefault="00670E5E" w:rsidP="00667E85">
      <w:pPr>
        <w:tabs>
          <w:tab w:val="left" w:pos="5529"/>
        </w:tabs>
        <w:spacing w:after="0" w:line="240" w:lineRule="auto"/>
        <w:jc w:val="both"/>
        <w:rPr>
          <w:rFonts w:ascii="Calibri" w:eastAsia="Calibri" w:hAnsi="Calibri" w:cstheme="minorHAnsi"/>
        </w:rPr>
      </w:pPr>
      <w:r w:rsidRPr="006321CE">
        <w:rPr>
          <w:rFonts w:ascii="Calibri" w:eastAsia="Calibri" w:hAnsi="Calibri" w:cstheme="minorHAnsi"/>
        </w:rPr>
        <w:t>Artículos 263 fracción III, 288, 289, 292, 293, 295 fracción II, 297, 299, 302, 303, 304, 305, 310, 328, del 334 al 338, 358, y 363 fracción I del Acuerdo General del Pleno del Consejo de la Judicatura Federal, que establece las disposiciones en materia de actividad administrativa del propio Consejo.</w:t>
      </w:r>
    </w:p>
    <w:p w:rsidR="00670E5E" w:rsidRDefault="00670E5E" w:rsidP="00667E85">
      <w:pPr>
        <w:tabs>
          <w:tab w:val="left" w:pos="5529"/>
        </w:tabs>
        <w:spacing w:after="0" w:line="240" w:lineRule="auto"/>
        <w:jc w:val="both"/>
        <w:rPr>
          <w:rFonts w:ascii="Calibri" w:eastAsia="Calibri" w:hAnsi="Calibri" w:cstheme="minorHAnsi"/>
        </w:rPr>
      </w:pPr>
    </w:p>
    <w:p w:rsidR="00670E5E" w:rsidRPr="009C4D92" w:rsidRDefault="00670E5E">
      <w:pPr>
        <w:rPr>
          <w:rFonts w:eastAsia="Calibri" w:cstheme="minorHAnsi"/>
          <w:b/>
          <w:sz w:val="10"/>
        </w:rPr>
      </w:pPr>
    </w:p>
    <w:p w:rsidR="00670E5E" w:rsidRDefault="00670E5E" w:rsidP="004D2FB8">
      <w:pPr>
        <w:spacing w:after="0" w:line="240" w:lineRule="auto"/>
        <w:jc w:val="both"/>
        <w:rPr>
          <w:rFonts w:eastAsia="Calibri" w:cstheme="minorHAnsi"/>
        </w:rPr>
      </w:pPr>
      <w:r>
        <w:rPr>
          <w:rFonts w:eastAsia="Calibri" w:cstheme="minorHAnsi"/>
        </w:rPr>
        <w:t>C</w:t>
      </w:r>
      <w:r w:rsidRPr="00B12DE8">
        <w:rPr>
          <w:rFonts w:eastAsia="Calibri" w:cstheme="minorHAnsi"/>
        </w:rPr>
        <w:t>onforme a lo dispuesto en el artículo 3</w:t>
      </w:r>
      <w:r>
        <w:rPr>
          <w:rFonts w:eastAsia="Calibri" w:cstheme="minorHAnsi"/>
        </w:rPr>
        <w:t xml:space="preserve">38 </w:t>
      </w:r>
      <w:r w:rsidRPr="00B12DE8">
        <w:rPr>
          <w:rFonts w:eastAsia="Calibri" w:cstheme="minorHAnsi"/>
        </w:rPr>
        <w:t xml:space="preserve">del Acuerdo General del Pleno del Consejo de la Judicatura Federal, que establece las disposiciones en materia de actividad administrativa del propio Consejo, </w:t>
      </w:r>
      <w:r>
        <w:rPr>
          <w:rFonts w:eastAsia="Calibri" w:cstheme="minorHAnsi"/>
        </w:rPr>
        <w:t>se expone lo</w:t>
      </w:r>
      <w:r w:rsidRPr="00B12DE8">
        <w:rPr>
          <w:rFonts w:eastAsia="Calibri" w:cstheme="minorHAnsi"/>
        </w:rPr>
        <w:t xml:space="preserve"> siguiente:</w:t>
      </w:r>
    </w:p>
    <w:p w:rsidR="00670E5E" w:rsidRDefault="00670E5E" w:rsidP="005B3567">
      <w:pPr>
        <w:spacing w:after="0" w:line="240" w:lineRule="auto"/>
        <w:rPr>
          <w:rFonts w:eastAsia="Calibri" w:cstheme="minorHAnsi"/>
          <w:sz w:val="16"/>
        </w:rPr>
      </w:pPr>
    </w:p>
    <w:p w:rsidR="00670E5E" w:rsidRPr="00FC6E8A" w:rsidRDefault="00670E5E" w:rsidP="005B3567">
      <w:pPr>
        <w:spacing w:after="0" w:line="240" w:lineRule="auto"/>
        <w:rPr>
          <w:rFonts w:eastAsia="Calibri" w:cstheme="minorHAnsi"/>
          <w:sz w:val="16"/>
        </w:rPr>
      </w:pPr>
    </w:p>
    <w:p w:rsidR="00670E5E" w:rsidRDefault="00670E5E" w:rsidP="005B3567">
      <w:pPr>
        <w:pStyle w:val="Prrafodelista"/>
        <w:numPr>
          <w:ilvl w:val="0"/>
          <w:numId w:val="6"/>
        </w:numPr>
        <w:spacing w:after="0"/>
        <w:ind w:left="426" w:right="20" w:hanging="426"/>
        <w:jc w:val="both"/>
        <w:rPr>
          <w:rFonts w:cstheme="minorHAnsi"/>
          <w:b/>
        </w:rPr>
      </w:pPr>
      <w:r w:rsidRPr="00FB31D7">
        <w:rPr>
          <w:rFonts w:cstheme="minorHAnsi"/>
          <w:b/>
        </w:rPr>
        <w:t>DESCALIFICACIÓN</w:t>
      </w:r>
    </w:p>
    <w:p w:rsidR="00670E5E" w:rsidRDefault="00670E5E" w:rsidP="00514AB1">
      <w:pPr>
        <w:pStyle w:val="Prrafodelista"/>
        <w:spacing w:after="0"/>
        <w:ind w:left="426" w:right="20"/>
        <w:jc w:val="both"/>
        <w:rPr>
          <w:rFonts w:cstheme="minorHAnsi"/>
          <w:b/>
        </w:rPr>
      </w:pPr>
    </w:p>
    <w:p w:rsidR="00670E5E" w:rsidRDefault="00670E5E" w:rsidP="005B3567">
      <w:pPr>
        <w:pStyle w:val="Sinespaciado"/>
        <w:ind w:left="284"/>
        <w:jc w:val="both"/>
        <w:rPr>
          <w:rFonts w:asciiTheme="minorHAnsi" w:hAnsiTheme="minorHAnsi" w:cstheme="minorHAnsi"/>
        </w:rPr>
      </w:pPr>
      <w:r w:rsidRPr="00FB31D7">
        <w:rPr>
          <w:rFonts w:asciiTheme="minorHAnsi" w:hAnsiTheme="minorHAnsi" w:cstheme="minorHAnsi"/>
        </w:rPr>
        <w:t xml:space="preserve">Tomando en consideración el resultado de los Dictámenes Resolutivos </w:t>
      </w:r>
      <w:r>
        <w:rPr>
          <w:rFonts w:asciiTheme="minorHAnsi" w:hAnsiTheme="minorHAnsi" w:cstheme="minorHAnsi"/>
        </w:rPr>
        <w:t xml:space="preserve"> Técnico, Económico y Financiero, y </w:t>
      </w:r>
      <w:r w:rsidRPr="00FB31D7">
        <w:rPr>
          <w:rFonts w:asciiTheme="minorHAnsi" w:hAnsiTheme="minorHAnsi" w:cstheme="minorHAnsi"/>
        </w:rPr>
        <w:t xml:space="preserve">con fundamento en lo dispuesto en el artículo </w:t>
      </w:r>
      <w:r>
        <w:rPr>
          <w:rFonts w:asciiTheme="minorHAnsi" w:hAnsiTheme="minorHAnsi" w:cstheme="minorHAnsi"/>
        </w:rPr>
        <w:t>330</w:t>
      </w:r>
      <w:r w:rsidRPr="00FB31D7">
        <w:rPr>
          <w:rFonts w:asciiTheme="minorHAnsi" w:hAnsiTheme="minorHAnsi" w:cstheme="minorHAnsi"/>
        </w:rPr>
        <w:t xml:space="preserve"> del </w:t>
      </w:r>
      <w:r w:rsidRPr="00FA2020">
        <w:rPr>
          <w:rFonts w:asciiTheme="minorHAnsi" w:hAnsiTheme="minorHAnsi" w:cstheme="minorHAnsi"/>
        </w:rPr>
        <w:t>Acuerdo General del Pleno del Consejo de la Judicatura Federal, que establece las disposiciones en materia de actividad administrativa del propio Consejo,</w:t>
      </w:r>
      <w:r w:rsidRPr="00FB31D7">
        <w:rPr>
          <w:rFonts w:asciiTheme="minorHAnsi" w:hAnsiTheme="minorHAnsi" w:cstheme="minorHAnsi"/>
        </w:rPr>
        <w:t xml:space="preserve"> la Dirección General de Inmuebles y Mantenimiento, determina procedente la descalificación </w:t>
      </w:r>
      <w:r>
        <w:rPr>
          <w:rFonts w:asciiTheme="minorHAnsi" w:hAnsiTheme="minorHAnsi" w:cstheme="minorHAnsi"/>
        </w:rPr>
        <w:t>de</w:t>
      </w:r>
      <w:r w:rsidRPr="00FB31D7">
        <w:rPr>
          <w:rFonts w:asciiTheme="minorHAnsi" w:hAnsiTheme="minorHAnsi" w:cstheme="minorHAnsi"/>
        </w:rPr>
        <w:t xml:space="preserve"> los participantes siguientes:</w:t>
      </w:r>
    </w:p>
    <w:p w:rsidR="00670E5E" w:rsidRPr="00FB31D7" w:rsidRDefault="00670E5E" w:rsidP="005B3567">
      <w:pPr>
        <w:pStyle w:val="Sinespaciado"/>
        <w:ind w:left="284"/>
        <w:jc w:val="both"/>
        <w:rPr>
          <w:rFonts w:asciiTheme="minorHAnsi" w:hAnsiTheme="minorHAnsi" w:cstheme="minorHAnsi"/>
        </w:rPr>
      </w:pPr>
    </w:p>
    <w:p w:rsidR="00670E5E" w:rsidRPr="00FC6E8A" w:rsidRDefault="00670E5E" w:rsidP="005B3567">
      <w:pPr>
        <w:pStyle w:val="Sinespaciado"/>
        <w:ind w:left="720"/>
        <w:jc w:val="both"/>
        <w:rPr>
          <w:rFonts w:asciiTheme="minorHAnsi" w:hAnsiTheme="minorHAnsi" w:cstheme="minorHAnsi"/>
          <w:sz w:val="14"/>
        </w:rPr>
      </w:pPr>
    </w:p>
    <w:p w:rsidR="00670E5E" w:rsidRPr="005E6489" w:rsidRDefault="00670E5E" w:rsidP="001D6E5A">
      <w:pPr>
        <w:pStyle w:val="Sinespaciado"/>
        <w:numPr>
          <w:ilvl w:val="0"/>
          <w:numId w:val="5"/>
        </w:numPr>
        <w:jc w:val="both"/>
        <w:rPr>
          <w:rFonts w:asciiTheme="minorHAnsi" w:hAnsiTheme="minorHAnsi" w:cstheme="minorHAnsi"/>
        </w:rPr>
      </w:pPr>
      <w:r w:rsidRPr="001D6E5A">
        <w:rPr>
          <w:rFonts w:asciiTheme="minorHAnsi" w:hAnsiTheme="minorHAnsi" w:cstheme="minorHAnsi"/>
          <w:b/>
        </w:rPr>
        <w:t>DIAMOND AIR S.A. DE C. V.</w:t>
      </w:r>
      <w:r w:rsidRPr="00327A39">
        <w:rPr>
          <w:rFonts w:asciiTheme="minorHAnsi" w:hAnsiTheme="minorHAnsi" w:cstheme="minorHAnsi"/>
          <w:b/>
        </w:rPr>
        <w:t>,</w:t>
      </w:r>
      <w:r w:rsidRPr="00EF4E89">
        <w:rPr>
          <w:rFonts w:asciiTheme="minorHAnsi" w:hAnsiTheme="minorHAnsi" w:cstheme="minorHAnsi"/>
        </w:rPr>
        <w:t xml:space="preserve"> </w:t>
      </w:r>
      <w:r w:rsidRPr="00EF4E89">
        <w:rPr>
          <w:rFonts w:cstheme="minorHAnsi"/>
          <w:snapToGrid w:val="0"/>
          <w:lang w:val="es-ES_tradnl"/>
        </w:rPr>
        <w:t xml:space="preserve">en </w:t>
      </w:r>
      <w:r>
        <w:rPr>
          <w:rFonts w:cstheme="minorHAnsi"/>
          <w:snapToGrid w:val="0"/>
          <w:lang w:val="es-ES_tradnl"/>
        </w:rPr>
        <w:t>los</w:t>
      </w:r>
      <w:r w:rsidRPr="00EF4E89">
        <w:rPr>
          <w:rFonts w:cstheme="minorHAnsi"/>
          <w:snapToGrid w:val="0"/>
          <w:lang w:val="es-ES_tradnl"/>
        </w:rPr>
        <w:t xml:space="preserve"> Dict</w:t>
      </w:r>
      <w:r>
        <w:rPr>
          <w:rFonts w:cstheme="minorHAnsi"/>
          <w:snapToGrid w:val="0"/>
          <w:lang w:val="es-ES_tradnl"/>
        </w:rPr>
        <w:t xml:space="preserve">ámenes </w:t>
      </w:r>
      <w:r w:rsidRPr="00EF4E89">
        <w:rPr>
          <w:rFonts w:cstheme="minorHAnsi"/>
          <w:snapToGrid w:val="0"/>
          <w:lang w:val="es-ES_tradnl"/>
        </w:rPr>
        <w:t>Resolutivo</w:t>
      </w:r>
      <w:r>
        <w:rPr>
          <w:rFonts w:cstheme="minorHAnsi"/>
          <w:snapToGrid w:val="0"/>
          <w:lang w:val="es-ES_tradnl"/>
        </w:rPr>
        <w:t>s</w:t>
      </w:r>
      <w:r w:rsidRPr="00EF4E89">
        <w:rPr>
          <w:rFonts w:cstheme="minorHAnsi"/>
          <w:snapToGrid w:val="0"/>
          <w:lang w:val="es-ES_tradnl"/>
        </w:rPr>
        <w:t xml:space="preserve"> </w:t>
      </w:r>
      <w:r w:rsidRPr="00EF4E89">
        <w:rPr>
          <w:rFonts w:cstheme="minorHAnsi"/>
          <w:snapToGrid w:val="0"/>
          <w:color w:val="0000FF"/>
          <w:lang w:val="es-ES_tradnl"/>
        </w:rPr>
        <w:t>Técnico</w:t>
      </w:r>
      <w:r>
        <w:rPr>
          <w:rFonts w:cstheme="minorHAnsi"/>
          <w:snapToGrid w:val="0"/>
          <w:lang w:val="es-ES_tradnl"/>
        </w:rPr>
        <w:t xml:space="preserve"> y Financiero </w:t>
      </w:r>
      <w:r>
        <w:rPr>
          <w:rFonts w:cstheme="minorHAnsi"/>
          <w:snapToGrid w:val="0"/>
        </w:rPr>
        <w:t xml:space="preserve">se manifiesta </w:t>
      </w:r>
      <w:r w:rsidRPr="00EF4E89">
        <w:rPr>
          <w:rFonts w:cstheme="minorHAnsi"/>
          <w:snapToGrid w:val="0"/>
        </w:rPr>
        <w:t>lo siguiente:</w:t>
      </w:r>
    </w:p>
    <w:p w:rsidR="00670E5E" w:rsidRPr="00514AB1" w:rsidRDefault="00670E5E" w:rsidP="005B3567">
      <w:pPr>
        <w:pStyle w:val="Sinespaciado"/>
        <w:ind w:left="720"/>
        <w:jc w:val="both"/>
        <w:rPr>
          <w:rFonts w:asciiTheme="minorHAnsi" w:hAnsiTheme="minorHAnsi" w:cstheme="minorHAnsi"/>
          <w:sz w:val="18"/>
        </w:rPr>
      </w:pPr>
    </w:p>
    <w:p w:rsidR="00670E5E" w:rsidRDefault="00670E5E" w:rsidP="001D6E5A">
      <w:pPr>
        <w:pStyle w:val="Sinespaciado"/>
        <w:ind w:left="720"/>
        <w:jc w:val="both"/>
        <w:rPr>
          <w:rFonts w:cstheme="minorHAnsi"/>
          <w:snapToGrid w:val="0"/>
        </w:rPr>
      </w:pPr>
      <w:r w:rsidRPr="00EF4E89">
        <w:rPr>
          <w:rFonts w:cstheme="minorHAnsi"/>
          <w:snapToGrid w:val="0"/>
        </w:rPr>
        <w:t xml:space="preserve">Dictamen Técnico </w:t>
      </w:r>
      <w:r>
        <w:rPr>
          <w:rFonts w:cstheme="minorHAnsi"/>
          <w:snapToGrid w:val="0"/>
        </w:rPr>
        <w:t>(página 2 del Anexo 9)</w:t>
      </w:r>
    </w:p>
    <w:p w:rsidR="00670E5E" w:rsidRDefault="00670E5E" w:rsidP="005B3567">
      <w:pPr>
        <w:pStyle w:val="Sinespaciado"/>
        <w:ind w:left="720"/>
        <w:jc w:val="both"/>
        <w:rPr>
          <w:rFonts w:asciiTheme="minorHAnsi" w:hAnsiTheme="minorHAnsi" w:cstheme="minorHAnsi"/>
        </w:rPr>
      </w:pPr>
      <w:r w:rsidRPr="001D6E5A">
        <w:rPr>
          <w:rFonts w:asciiTheme="minorHAnsi" w:hAnsiTheme="minorHAnsi" w:cstheme="minorHAnsi"/>
        </w:rPr>
        <w:t>DOCUMENTO 7.4.1 T-1 “RELACIÓN DE CONTRATOS EJECUTADOS SIMILARES A LOS TRABAJOS A DESARROLLAR”, la empresa no present</w:t>
      </w:r>
      <w:r>
        <w:rPr>
          <w:rFonts w:asciiTheme="minorHAnsi" w:hAnsiTheme="minorHAnsi" w:cstheme="minorHAnsi"/>
        </w:rPr>
        <w:t>ó</w:t>
      </w:r>
      <w:r w:rsidRPr="001D6E5A">
        <w:rPr>
          <w:rFonts w:asciiTheme="minorHAnsi" w:hAnsiTheme="minorHAnsi" w:cstheme="minorHAnsi"/>
        </w:rPr>
        <w:t xml:space="preserve"> trabajos con monto mayor a $3’002,100.00 IVA incluido, incumpliendo con lo establecido en los numerales 7.4.1 Y 8.3 T-1 “ANÁLISIS Y EVALUACIÓN DE LA PROPUESTA TÉCNICA” de las </w:t>
      </w:r>
      <w:r>
        <w:rPr>
          <w:rFonts w:asciiTheme="minorHAnsi" w:hAnsiTheme="minorHAnsi" w:cstheme="minorHAnsi"/>
        </w:rPr>
        <w:t>B</w:t>
      </w:r>
      <w:r w:rsidRPr="001D6E5A">
        <w:rPr>
          <w:rFonts w:asciiTheme="minorHAnsi" w:hAnsiTheme="minorHAnsi" w:cstheme="minorHAnsi"/>
        </w:rPr>
        <w:t>ases del procedimiento</w:t>
      </w:r>
      <w:r>
        <w:rPr>
          <w:rFonts w:asciiTheme="minorHAnsi" w:hAnsiTheme="minorHAnsi" w:cstheme="minorHAnsi"/>
        </w:rPr>
        <w:t>.</w:t>
      </w:r>
    </w:p>
    <w:p w:rsidR="00670E5E" w:rsidRPr="00514AB1" w:rsidRDefault="00670E5E" w:rsidP="005B3567">
      <w:pPr>
        <w:pStyle w:val="Sinespaciado"/>
        <w:ind w:left="720"/>
        <w:jc w:val="both"/>
        <w:rPr>
          <w:rFonts w:asciiTheme="minorHAnsi" w:hAnsiTheme="minorHAnsi" w:cstheme="minorHAnsi"/>
          <w:sz w:val="18"/>
        </w:rPr>
      </w:pPr>
    </w:p>
    <w:p w:rsidR="00670E5E" w:rsidRPr="001D6E5A" w:rsidRDefault="00670E5E" w:rsidP="001D6E5A">
      <w:pPr>
        <w:pStyle w:val="Sinespaciado"/>
        <w:ind w:left="720"/>
        <w:jc w:val="both"/>
        <w:rPr>
          <w:rFonts w:asciiTheme="minorHAnsi" w:hAnsiTheme="minorHAnsi" w:cstheme="minorHAnsi"/>
        </w:rPr>
      </w:pPr>
      <w:r w:rsidRPr="001D6E5A">
        <w:rPr>
          <w:rFonts w:asciiTheme="minorHAnsi" w:hAnsiTheme="minorHAnsi" w:cstheme="minorHAnsi"/>
        </w:rPr>
        <w:lastRenderedPageBreak/>
        <w:t>DOCUMENTO 7.4.5 T-5 “MANIFESTACIÓN DEL RESPÓNSABLE TÉCNICO REPRESENTANTE DE LA EMPRESA”, la empresa no present</w:t>
      </w:r>
      <w:r>
        <w:rPr>
          <w:rFonts w:asciiTheme="minorHAnsi" w:hAnsiTheme="minorHAnsi" w:cstheme="minorHAnsi"/>
        </w:rPr>
        <w:t>ó</w:t>
      </w:r>
      <w:r w:rsidRPr="001D6E5A">
        <w:rPr>
          <w:rFonts w:asciiTheme="minorHAnsi" w:hAnsiTheme="minorHAnsi" w:cstheme="minorHAnsi"/>
        </w:rPr>
        <w:t xml:space="preserve"> cédula profesional del responsable técnico representante, en su lugar integr</w:t>
      </w:r>
      <w:r>
        <w:rPr>
          <w:rFonts w:asciiTheme="minorHAnsi" w:hAnsiTheme="minorHAnsi" w:cstheme="minorHAnsi"/>
        </w:rPr>
        <w:t>ó</w:t>
      </w:r>
      <w:r w:rsidRPr="001D6E5A">
        <w:rPr>
          <w:rFonts w:asciiTheme="minorHAnsi" w:hAnsiTheme="minorHAnsi" w:cstheme="minorHAnsi"/>
        </w:rPr>
        <w:t xml:space="preserve"> copia de título de ingeniero electrónico, documento no solicitado.</w:t>
      </w:r>
    </w:p>
    <w:p w:rsidR="00670E5E" w:rsidRPr="00514AB1" w:rsidRDefault="00670E5E" w:rsidP="001D6E5A">
      <w:pPr>
        <w:pStyle w:val="Sinespaciado"/>
        <w:ind w:left="720"/>
        <w:jc w:val="both"/>
        <w:rPr>
          <w:rFonts w:asciiTheme="minorHAnsi" w:hAnsiTheme="minorHAnsi" w:cstheme="minorHAnsi"/>
          <w:sz w:val="18"/>
        </w:rPr>
      </w:pPr>
    </w:p>
    <w:p w:rsidR="00670E5E" w:rsidRDefault="00670E5E" w:rsidP="001D6E5A">
      <w:pPr>
        <w:pStyle w:val="Sinespaciado"/>
        <w:ind w:left="720"/>
        <w:jc w:val="both"/>
        <w:rPr>
          <w:rFonts w:asciiTheme="minorHAnsi" w:hAnsiTheme="minorHAnsi" w:cstheme="minorHAnsi"/>
        </w:rPr>
      </w:pPr>
      <w:r w:rsidRPr="001D6E5A">
        <w:rPr>
          <w:rFonts w:asciiTheme="minorHAnsi" w:hAnsiTheme="minorHAnsi" w:cstheme="minorHAnsi"/>
        </w:rPr>
        <w:t>Por lo anterior,</w:t>
      </w:r>
      <w:r>
        <w:rPr>
          <w:rFonts w:asciiTheme="minorHAnsi" w:hAnsiTheme="minorHAnsi" w:cstheme="minorHAnsi"/>
        </w:rPr>
        <w:t xml:space="preserve"> se determinó que</w:t>
      </w:r>
      <w:r w:rsidRPr="001D6E5A">
        <w:rPr>
          <w:rFonts w:asciiTheme="minorHAnsi" w:hAnsiTheme="minorHAnsi" w:cstheme="minorHAnsi"/>
        </w:rPr>
        <w:t xml:space="preserve"> </w:t>
      </w:r>
      <w:r>
        <w:rPr>
          <w:rFonts w:asciiTheme="minorHAnsi" w:hAnsiTheme="minorHAnsi" w:cstheme="minorHAnsi"/>
        </w:rPr>
        <w:t>No Cumplió</w:t>
      </w:r>
      <w:r w:rsidRPr="001D6E5A">
        <w:rPr>
          <w:rFonts w:asciiTheme="minorHAnsi" w:hAnsiTheme="minorHAnsi" w:cstheme="minorHAnsi"/>
        </w:rPr>
        <w:t xml:space="preserve"> con lo establecido en el numeral 8.3 “ANÁLISIS Y EVALUACIÓN DE LA PROPUESTA TÉCNICA”, en su inciso T-5 ANEXO 7, último párrafo</w:t>
      </w:r>
      <w:r>
        <w:rPr>
          <w:rFonts w:asciiTheme="minorHAnsi" w:hAnsiTheme="minorHAnsi" w:cstheme="minorHAnsi"/>
        </w:rPr>
        <w:t xml:space="preserve">. </w:t>
      </w:r>
    </w:p>
    <w:p w:rsidR="00670E5E" w:rsidRPr="00514AB1" w:rsidRDefault="00670E5E" w:rsidP="005B3567">
      <w:pPr>
        <w:pStyle w:val="Sinespaciado"/>
        <w:ind w:left="720"/>
        <w:jc w:val="both"/>
        <w:rPr>
          <w:rFonts w:asciiTheme="minorHAnsi" w:hAnsiTheme="minorHAnsi" w:cstheme="minorHAnsi"/>
          <w:sz w:val="18"/>
        </w:rPr>
      </w:pPr>
    </w:p>
    <w:p w:rsidR="00670E5E" w:rsidRDefault="00670E5E" w:rsidP="005B3567">
      <w:pPr>
        <w:pStyle w:val="Sinespaciado"/>
        <w:ind w:left="720"/>
        <w:jc w:val="both"/>
        <w:rPr>
          <w:rFonts w:cstheme="minorHAnsi"/>
          <w:snapToGrid w:val="0"/>
        </w:rPr>
      </w:pPr>
      <w:r w:rsidRPr="001D6E5A">
        <w:rPr>
          <w:rFonts w:cstheme="minorHAnsi"/>
          <w:snapToGrid w:val="0"/>
        </w:rPr>
        <w:t>DOCUMENTO 7.4.6 T-7 “MANIFESTACIÓN DE NO ENCONTRARSE EN ALGUNO DE LOS SUPUESTOS DE RESTRICCIÓN PARA CONTRATAR”, en esta manifestación la empresa no present</w:t>
      </w:r>
      <w:r>
        <w:rPr>
          <w:rFonts w:cstheme="minorHAnsi"/>
          <w:snapToGrid w:val="0"/>
        </w:rPr>
        <w:t>ó</w:t>
      </w:r>
      <w:r w:rsidRPr="001D6E5A">
        <w:rPr>
          <w:rFonts w:cstheme="minorHAnsi"/>
          <w:snapToGrid w:val="0"/>
        </w:rPr>
        <w:t xml:space="preserve"> el manifiesto firmado por el representante legal, incumpliendo con lo establecido en los numerales 7.4.6 Y 8.3 “ANÁLISIS Y EVALUACIÓN DE LA PROPUESTA TÉCNICA” de las </w:t>
      </w:r>
      <w:r>
        <w:rPr>
          <w:rFonts w:cstheme="minorHAnsi"/>
          <w:snapToGrid w:val="0"/>
        </w:rPr>
        <w:t>B</w:t>
      </w:r>
      <w:r w:rsidRPr="001D6E5A">
        <w:rPr>
          <w:rFonts w:cstheme="minorHAnsi"/>
          <w:snapToGrid w:val="0"/>
        </w:rPr>
        <w:t>ases del procedimiento</w:t>
      </w:r>
      <w:r>
        <w:rPr>
          <w:rFonts w:cstheme="minorHAnsi"/>
          <w:snapToGrid w:val="0"/>
        </w:rPr>
        <w:t>.</w:t>
      </w:r>
    </w:p>
    <w:p w:rsidR="00670E5E" w:rsidRPr="00514AB1" w:rsidRDefault="00670E5E" w:rsidP="005B3567">
      <w:pPr>
        <w:pStyle w:val="Sinespaciado"/>
        <w:ind w:left="720"/>
        <w:jc w:val="both"/>
        <w:rPr>
          <w:rFonts w:cstheme="minorHAnsi"/>
          <w:snapToGrid w:val="0"/>
          <w:sz w:val="18"/>
        </w:rPr>
      </w:pPr>
    </w:p>
    <w:p w:rsidR="00670E5E" w:rsidRPr="00EF4E89" w:rsidRDefault="00670E5E" w:rsidP="005B3567">
      <w:pPr>
        <w:pStyle w:val="Sinespaciado"/>
        <w:ind w:left="720"/>
        <w:jc w:val="both"/>
        <w:rPr>
          <w:rFonts w:asciiTheme="minorHAnsi" w:hAnsiTheme="minorHAnsi" w:cstheme="minorHAnsi"/>
        </w:rPr>
      </w:pPr>
      <w:r>
        <w:rPr>
          <w:rFonts w:cstheme="minorHAnsi"/>
          <w:snapToGrid w:val="0"/>
        </w:rPr>
        <w:t>S</w:t>
      </w:r>
      <w:r w:rsidRPr="00EF4E89">
        <w:rPr>
          <w:rFonts w:cstheme="minorHAnsi"/>
          <w:snapToGrid w:val="0"/>
        </w:rPr>
        <w:t>e descalific</w:t>
      </w:r>
      <w:r>
        <w:rPr>
          <w:rFonts w:cstheme="minorHAnsi"/>
          <w:snapToGrid w:val="0"/>
        </w:rPr>
        <w:t>ó</w:t>
      </w:r>
      <w:r w:rsidRPr="00EF4E89">
        <w:rPr>
          <w:rFonts w:cstheme="minorHAnsi"/>
          <w:snapToGrid w:val="0"/>
        </w:rPr>
        <w:t xml:space="preserve"> </w:t>
      </w:r>
      <w:r>
        <w:rPr>
          <w:rFonts w:cstheme="minorHAnsi"/>
          <w:snapToGrid w:val="0"/>
        </w:rPr>
        <w:t>la</w:t>
      </w:r>
      <w:r w:rsidRPr="00EF4E89">
        <w:rPr>
          <w:rFonts w:cstheme="minorHAnsi"/>
          <w:snapToGrid w:val="0"/>
        </w:rPr>
        <w:t xml:space="preserve"> propuesta</w:t>
      </w:r>
      <w:r>
        <w:rPr>
          <w:rFonts w:cstheme="minorHAnsi"/>
          <w:snapToGrid w:val="0"/>
        </w:rPr>
        <w:t xml:space="preserve"> </w:t>
      </w:r>
      <w:r w:rsidRPr="00EF4E89">
        <w:rPr>
          <w:rFonts w:cstheme="minorHAnsi"/>
          <w:snapToGrid w:val="0"/>
        </w:rPr>
        <w:t xml:space="preserve">con fundamento en el inciso </w:t>
      </w:r>
      <w:r>
        <w:rPr>
          <w:rFonts w:cstheme="minorHAnsi"/>
          <w:snapToGrid w:val="0"/>
        </w:rPr>
        <w:t>k</w:t>
      </w:r>
      <w:r w:rsidRPr="00EF4E89">
        <w:rPr>
          <w:rFonts w:cstheme="minorHAnsi"/>
          <w:snapToGrid w:val="0"/>
        </w:rPr>
        <w:t xml:space="preserve">) del numeral </w:t>
      </w:r>
      <w:r>
        <w:rPr>
          <w:rFonts w:cstheme="minorHAnsi"/>
          <w:snapToGrid w:val="0"/>
        </w:rPr>
        <w:t>10.1</w:t>
      </w:r>
      <w:r w:rsidRPr="00EF4E89">
        <w:rPr>
          <w:rFonts w:cstheme="minorHAnsi"/>
          <w:snapToGrid w:val="0"/>
        </w:rPr>
        <w:t xml:space="preserve"> “DESCALIFICACIÓN DE PARTICIPANTES” de las </w:t>
      </w:r>
      <w:r>
        <w:rPr>
          <w:rFonts w:cstheme="minorHAnsi"/>
          <w:snapToGrid w:val="0"/>
        </w:rPr>
        <w:t>B</w:t>
      </w:r>
      <w:r w:rsidRPr="00EF4E89">
        <w:rPr>
          <w:rFonts w:cstheme="minorHAnsi"/>
          <w:snapToGrid w:val="0"/>
        </w:rPr>
        <w:t>ases del procedimiento</w:t>
      </w:r>
      <w:r>
        <w:rPr>
          <w:rFonts w:cstheme="minorHAnsi"/>
          <w:snapToGrid w:val="0"/>
        </w:rPr>
        <w:t xml:space="preserve">. </w:t>
      </w:r>
    </w:p>
    <w:p w:rsidR="00670E5E" w:rsidRPr="00514AB1" w:rsidRDefault="00670E5E" w:rsidP="009F3459">
      <w:pPr>
        <w:pStyle w:val="Sinespaciado"/>
        <w:ind w:left="714"/>
        <w:jc w:val="both"/>
        <w:rPr>
          <w:rFonts w:cstheme="minorHAnsi"/>
          <w:snapToGrid w:val="0"/>
          <w:sz w:val="18"/>
        </w:rPr>
      </w:pPr>
    </w:p>
    <w:p w:rsidR="00670E5E" w:rsidRPr="00A04587" w:rsidRDefault="00670E5E" w:rsidP="009F3459">
      <w:pPr>
        <w:pStyle w:val="Sinespaciado"/>
        <w:ind w:left="714"/>
        <w:jc w:val="both"/>
        <w:rPr>
          <w:rFonts w:cstheme="minorHAnsi"/>
          <w:snapToGrid w:val="0"/>
        </w:rPr>
      </w:pPr>
      <w:r w:rsidRPr="00A04587">
        <w:rPr>
          <w:rFonts w:cstheme="minorHAnsi"/>
          <w:snapToGrid w:val="0"/>
        </w:rPr>
        <w:t xml:space="preserve">Dictamen Financiero (página </w:t>
      </w:r>
      <w:r>
        <w:rPr>
          <w:rFonts w:cstheme="minorHAnsi"/>
          <w:snapToGrid w:val="0"/>
        </w:rPr>
        <w:t>2</w:t>
      </w:r>
      <w:r w:rsidRPr="00A04587">
        <w:rPr>
          <w:rFonts w:cstheme="minorHAnsi"/>
          <w:snapToGrid w:val="0"/>
        </w:rPr>
        <w:t xml:space="preserve"> del Anexo 8):</w:t>
      </w:r>
    </w:p>
    <w:p w:rsidR="00670E5E" w:rsidRDefault="00670E5E" w:rsidP="009F3459">
      <w:pPr>
        <w:pStyle w:val="Sinespaciado"/>
        <w:ind w:left="714"/>
        <w:jc w:val="both"/>
        <w:rPr>
          <w:rFonts w:cstheme="minorHAnsi"/>
          <w:snapToGrid w:val="0"/>
        </w:rPr>
      </w:pPr>
      <w:r>
        <w:rPr>
          <w:rFonts w:cstheme="minorHAnsi"/>
          <w:snapToGrid w:val="0"/>
        </w:rPr>
        <w:t xml:space="preserve">Los </w:t>
      </w:r>
      <w:r w:rsidRPr="00A04587">
        <w:rPr>
          <w:rFonts w:cstheme="minorHAnsi"/>
          <w:snapToGrid w:val="0"/>
        </w:rPr>
        <w:t>Estado</w:t>
      </w:r>
      <w:r>
        <w:rPr>
          <w:rFonts w:cstheme="minorHAnsi"/>
          <w:snapToGrid w:val="0"/>
        </w:rPr>
        <w:t>s Financieros parciales con cifras al 29 de febrero de 2016, carecen de firmas del representante legal de la empresa (folios 002 y 003), de conformidad a lo establecido en el numeral 7.3.1. EF-1 de las Bases del procedimiento, hecho manifestado en el Acta de presentación y apertura de propuestas de fecha 07 de abril de 2016.</w:t>
      </w:r>
    </w:p>
    <w:p w:rsidR="00670E5E" w:rsidRDefault="00670E5E" w:rsidP="009F3459">
      <w:pPr>
        <w:pStyle w:val="Sinespaciado"/>
        <w:ind w:left="720"/>
        <w:jc w:val="both"/>
        <w:rPr>
          <w:rFonts w:asciiTheme="minorHAnsi" w:hAnsiTheme="minorHAnsi" w:cstheme="minorHAnsi"/>
        </w:rPr>
      </w:pPr>
    </w:p>
    <w:p w:rsidR="00670E5E" w:rsidRPr="001A1D7D" w:rsidRDefault="00670E5E" w:rsidP="009F3459">
      <w:pPr>
        <w:pStyle w:val="Sinespaciado"/>
        <w:ind w:left="720"/>
        <w:jc w:val="both"/>
        <w:rPr>
          <w:rFonts w:asciiTheme="minorHAnsi" w:hAnsiTheme="minorHAnsi" w:cstheme="minorHAnsi"/>
        </w:rPr>
      </w:pPr>
    </w:p>
    <w:p w:rsidR="00670E5E" w:rsidRPr="005E6489" w:rsidRDefault="00670E5E" w:rsidP="009F3459">
      <w:pPr>
        <w:pStyle w:val="Sinespaciado"/>
        <w:numPr>
          <w:ilvl w:val="0"/>
          <w:numId w:val="5"/>
        </w:numPr>
        <w:jc w:val="both"/>
        <w:rPr>
          <w:rFonts w:asciiTheme="minorHAnsi" w:hAnsiTheme="minorHAnsi" w:cstheme="minorHAnsi"/>
        </w:rPr>
      </w:pPr>
      <w:r w:rsidRPr="009F3459">
        <w:rPr>
          <w:rFonts w:cs="Calibri"/>
          <w:b/>
        </w:rPr>
        <w:t>OPEN SOLUTIONS INFORMATION TECHNOLOGIES, S.A. DE C.V.</w:t>
      </w:r>
      <w:r w:rsidRPr="00327A39">
        <w:rPr>
          <w:rFonts w:asciiTheme="minorHAnsi" w:hAnsiTheme="minorHAnsi" w:cstheme="minorHAnsi"/>
          <w:b/>
        </w:rPr>
        <w:t>,</w:t>
      </w:r>
      <w:r w:rsidRPr="00EF4E89">
        <w:rPr>
          <w:rFonts w:asciiTheme="minorHAnsi" w:hAnsiTheme="minorHAnsi" w:cstheme="minorHAnsi"/>
        </w:rPr>
        <w:t xml:space="preserve"> </w:t>
      </w:r>
      <w:r w:rsidRPr="00EF4E89">
        <w:rPr>
          <w:rFonts w:cstheme="minorHAnsi"/>
          <w:snapToGrid w:val="0"/>
          <w:lang w:val="es-ES_tradnl"/>
        </w:rPr>
        <w:t xml:space="preserve">en </w:t>
      </w:r>
      <w:r>
        <w:rPr>
          <w:rFonts w:cstheme="minorHAnsi"/>
          <w:snapToGrid w:val="0"/>
          <w:lang w:val="es-ES_tradnl"/>
        </w:rPr>
        <w:t>los</w:t>
      </w:r>
      <w:r w:rsidRPr="00EF4E89">
        <w:rPr>
          <w:rFonts w:cstheme="minorHAnsi"/>
          <w:snapToGrid w:val="0"/>
          <w:lang w:val="es-ES_tradnl"/>
        </w:rPr>
        <w:t xml:space="preserve"> Dict</w:t>
      </w:r>
      <w:r>
        <w:rPr>
          <w:rFonts w:cstheme="minorHAnsi"/>
          <w:snapToGrid w:val="0"/>
          <w:lang w:val="es-ES_tradnl"/>
        </w:rPr>
        <w:t xml:space="preserve">ámenes </w:t>
      </w:r>
      <w:r w:rsidRPr="00EF4E89">
        <w:rPr>
          <w:rFonts w:cstheme="minorHAnsi"/>
          <w:snapToGrid w:val="0"/>
          <w:lang w:val="es-ES_tradnl"/>
        </w:rPr>
        <w:t>Resolutivo</w:t>
      </w:r>
      <w:r>
        <w:rPr>
          <w:rFonts w:cstheme="minorHAnsi"/>
          <w:snapToGrid w:val="0"/>
          <w:lang w:val="es-ES_tradnl"/>
        </w:rPr>
        <w:t>s</w:t>
      </w:r>
      <w:r w:rsidRPr="00EF4E89">
        <w:rPr>
          <w:rFonts w:cstheme="minorHAnsi"/>
          <w:snapToGrid w:val="0"/>
          <w:lang w:val="es-ES_tradnl"/>
        </w:rPr>
        <w:t xml:space="preserve"> </w:t>
      </w:r>
      <w:r w:rsidRPr="00EF4E89">
        <w:rPr>
          <w:rFonts w:cstheme="minorHAnsi"/>
          <w:snapToGrid w:val="0"/>
          <w:color w:val="0000FF"/>
          <w:lang w:val="es-ES_tradnl"/>
        </w:rPr>
        <w:t>Técnico</w:t>
      </w:r>
      <w:r>
        <w:rPr>
          <w:rFonts w:cstheme="minorHAnsi"/>
          <w:snapToGrid w:val="0"/>
          <w:lang w:val="es-ES_tradnl"/>
        </w:rPr>
        <w:t xml:space="preserve">  y </w:t>
      </w:r>
      <w:r w:rsidRPr="009F3459">
        <w:rPr>
          <w:rFonts w:cstheme="minorHAnsi"/>
          <w:snapToGrid w:val="0"/>
          <w:color w:val="0000FF"/>
          <w:lang w:val="es-ES_tradnl"/>
        </w:rPr>
        <w:t>Financiero</w:t>
      </w:r>
      <w:r>
        <w:rPr>
          <w:rFonts w:cstheme="minorHAnsi"/>
          <w:snapToGrid w:val="0"/>
          <w:lang w:val="es-ES_tradnl"/>
        </w:rPr>
        <w:t xml:space="preserve"> </w:t>
      </w:r>
      <w:r>
        <w:rPr>
          <w:rFonts w:cstheme="minorHAnsi"/>
          <w:snapToGrid w:val="0"/>
        </w:rPr>
        <w:t xml:space="preserve">se manifiesta </w:t>
      </w:r>
      <w:r w:rsidRPr="00EF4E89">
        <w:rPr>
          <w:rFonts w:cstheme="minorHAnsi"/>
          <w:snapToGrid w:val="0"/>
        </w:rPr>
        <w:t>lo siguiente:</w:t>
      </w:r>
    </w:p>
    <w:p w:rsidR="00670E5E" w:rsidRPr="00514AB1" w:rsidRDefault="00670E5E" w:rsidP="009F3459">
      <w:pPr>
        <w:pStyle w:val="Sinespaciado"/>
        <w:ind w:left="720"/>
        <w:jc w:val="both"/>
        <w:rPr>
          <w:rFonts w:asciiTheme="minorHAnsi" w:hAnsiTheme="minorHAnsi" w:cstheme="minorHAnsi"/>
          <w:sz w:val="18"/>
        </w:rPr>
      </w:pPr>
    </w:p>
    <w:p w:rsidR="00670E5E" w:rsidRDefault="00670E5E" w:rsidP="009F3459">
      <w:pPr>
        <w:pStyle w:val="Sinespaciado"/>
        <w:ind w:left="720"/>
        <w:jc w:val="both"/>
        <w:rPr>
          <w:rFonts w:cstheme="minorHAnsi"/>
          <w:snapToGrid w:val="0"/>
        </w:rPr>
      </w:pPr>
      <w:r w:rsidRPr="00EF4E89">
        <w:rPr>
          <w:rFonts w:cstheme="minorHAnsi"/>
          <w:snapToGrid w:val="0"/>
        </w:rPr>
        <w:t xml:space="preserve">Dictamen Técnico </w:t>
      </w:r>
      <w:r>
        <w:rPr>
          <w:rFonts w:cstheme="minorHAnsi"/>
          <w:snapToGrid w:val="0"/>
        </w:rPr>
        <w:t>(página 3 del Anexo 9)</w:t>
      </w:r>
    </w:p>
    <w:p w:rsidR="00670E5E" w:rsidRDefault="00670E5E" w:rsidP="005B3567">
      <w:pPr>
        <w:pStyle w:val="Sinespaciado"/>
        <w:ind w:left="720"/>
        <w:jc w:val="both"/>
        <w:rPr>
          <w:rFonts w:asciiTheme="minorHAnsi" w:hAnsiTheme="minorHAnsi" w:cstheme="minorHAnsi"/>
        </w:rPr>
      </w:pPr>
      <w:r w:rsidRPr="009F3459">
        <w:rPr>
          <w:rFonts w:asciiTheme="minorHAnsi" w:hAnsiTheme="minorHAnsi" w:cstheme="minorHAnsi"/>
        </w:rPr>
        <w:t>DOCUMENTO 7.4.1 T-1 “RELACIÓN DE TRABAJOS EJECUTADOS SIMILARES A LOS TRABAJOS A DESARROLLAR”, la empresa no present</w:t>
      </w:r>
      <w:r>
        <w:rPr>
          <w:rFonts w:asciiTheme="minorHAnsi" w:hAnsiTheme="minorHAnsi" w:cstheme="minorHAnsi"/>
        </w:rPr>
        <w:t>ó</w:t>
      </w:r>
      <w:r w:rsidRPr="009F3459">
        <w:rPr>
          <w:rFonts w:asciiTheme="minorHAnsi" w:hAnsiTheme="minorHAnsi" w:cstheme="minorHAnsi"/>
        </w:rPr>
        <w:t xml:space="preserve"> trabajos con monto mayor a $3’002,100.00 IVA incluido, incumpliendo con lo establecido en los numerales 7.4.1 Y 8.3 T-1 “ANÁLISIS Y EVALUACIÓN DE LA PROPUESTA TÉCNICA” de las </w:t>
      </w:r>
      <w:r>
        <w:rPr>
          <w:rFonts w:asciiTheme="minorHAnsi" w:hAnsiTheme="minorHAnsi" w:cstheme="minorHAnsi"/>
        </w:rPr>
        <w:t>B</w:t>
      </w:r>
      <w:r w:rsidRPr="009F3459">
        <w:rPr>
          <w:rFonts w:asciiTheme="minorHAnsi" w:hAnsiTheme="minorHAnsi" w:cstheme="minorHAnsi"/>
        </w:rPr>
        <w:t>ases del procedimiento</w:t>
      </w:r>
      <w:r>
        <w:rPr>
          <w:rFonts w:asciiTheme="minorHAnsi" w:hAnsiTheme="minorHAnsi" w:cstheme="minorHAnsi"/>
        </w:rPr>
        <w:t>.</w:t>
      </w:r>
    </w:p>
    <w:p w:rsidR="00670E5E" w:rsidRPr="00514AB1" w:rsidRDefault="00670E5E" w:rsidP="005B3567">
      <w:pPr>
        <w:pStyle w:val="Sinespaciado"/>
        <w:ind w:left="720"/>
        <w:jc w:val="both"/>
        <w:rPr>
          <w:rFonts w:asciiTheme="minorHAnsi" w:hAnsiTheme="minorHAnsi" w:cstheme="minorHAnsi"/>
          <w:sz w:val="18"/>
        </w:rPr>
      </w:pPr>
    </w:p>
    <w:p w:rsidR="00670E5E" w:rsidRDefault="00670E5E" w:rsidP="009F3459">
      <w:pPr>
        <w:pStyle w:val="Sinespaciado"/>
        <w:ind w:left="720"/>
        <w:jc w:val="both"/>
        <w:rPr>
          <w:rFonts w:asciiTheme="minorHAnsi" w:hAnsiTheme="minorHAnsi" w:cstheme="minorHAnsi"/>
        </w:rPr>
      </w:pPr>
      <w:r w:rsidRPr="009F3459">
        <w:rPr>
          <w:rFonts w:asciiTheme="minorHAnsi" w:hAnsiTheme="minorHAnsi" w:cstheme="minorHAnsi"/>
        </w:rPr>
        <w:t>DOCUMENTO 7.4.2 T-2 “RELACIÓN DE CONTRATOS VIGENTES”, la empresa present</w:t>
      </w:r>
      <w:r>
        <w:rPr>
          <w:rFonts w:asciiTheme="minorHAnsi" w:hAnsiTheme="minorHAnsi" w:cstheme="minorHAnsi"/>
        </w:rPr>
        <w:t>ó</w:t>
      </w:r>
      <w:r w:rsidRPr="009F3459">
        <w:rPr>
          <w:rFonts w:asciiTheme="minorHAnsi" w:hAnsiTheme="minorHAnsi" w:cstheme="minorHAnsi"/>
        </w:rPr>
        <w:t xml:space="preserve"> mal impreso el formato y la columna de “DESCRIPCIÓN DEL CONTRATO” está cortada por lo cual no es legible su contenido, incumpliendo con los numerales 7.4.2 Y 8.3 T-2 “ANÁLISIS Y EVALUACIÓN DE LA PROPUESTA TÉCNICA” de las </w:t>
      </w:r>
      <w:r>
        <w:rPr>
          <w:rFonts w:asciiTheme="minorHAnsi" w:hAnsiTheme="minorHAnsi" w:cstheme="minorHAnsi"/>
        </w:rPr>
        <w:t>B</w:t>
      </w:r>
      <w:r w:rsidRPr="009F3459">
        <w:rPr>
          <w:rFonts w:asciiTheme="minorHAnsi" w:hAnsiTheme="minorHAnsi" w:cstheme="minorHAnsi"/>
        </w:rPr>
        <w:t>ases del procedimiento</w:t>
      </w:r>
      <w:r>
        <w:rPr>
          <w:rFonts w:asciiTheme="minorHAnsi" w:hAnsiTheme="minorHAnsi" w:cstheme="minorHAnsi"/>
        </w:rPr>
        <w:t>.</w:t>
      </w:r>
    </w:p>
    <w:p w:rsidR="00670E5E" w:rsidRPr="00514AB1" w:rsidRDefault="00670E5E" w:rsidP="009F3459">
      <w:pPr>
        <w:pStyle w:val="Sinespaciado"/>
        <w:ind w:left="720"/>
        <w:jc w:val="both"/>
        <w:rPr>
          <w:rFonts w:asciiTheme="minorHAnsi" w:hAnsiTheme="minorHAnsi" w:cstheme="minorHAnsi"/>
          <w:sz w:val="18"/>
        </w:rPr>
      </w:pPr>
    </w:p>
    <w:p w:rsidR="00670E5E" w:rsidRDefault="00670E5E" w:rsidP="009F3459">
      <w:pPr>
        <w:pStyle w:val="Sinespaciado"/>
        <w:ind w:left="720"/>
        <w:jc w:val="both"/>
        <w:rPr>
          <w:rFonts w:cstheme="minorHAnsi"/>
        </w:rPr>
      </w:pPr>
      <w:r w:rsidRPr="009F3459">
        <w:rPr>
          <w:rFonts w:cstheme="minorHAnsi"/>
        </w:rPr>
        <w:t>DOCUMENTO 7.4.4 T-4 “PROGRAMA GENERAL DE EJECUCIÓN DE LOS TRABAJOS”, la empresa no incluy</w:t>
      </w:r>
      <w:r>
        <w:rPr>
          <w:rFonts w:cstheme="minorHAnsi"/>
        </w:rPr>
        <w:t>ó</w:t>
      </w:r>
      <w:r w:rsidRPr="009F3459">
        <w:rPr>
          <w:rFonts w:cstheme="minorHAnsi"/>
        </w:rPr>
        <w:t xml:space="preserve"> el </w:t>
      </w:r>
      <w:r>
        <w:rPr>
          <w:rFonts w:cstheme="minorHAnsi"/>
        </w:rPr>
        <w:t>P</w:t>
      </w:r>
      <w:r w:rsidRPr="009F3459">
        <w:rPr>
          <w:rFonts w:cstheme="minorHAnsi"/>
        </w:rPr>
        <w:t xml:space="preserve">rograma </w:t>
      </w:r>
      <w:r>
        <w:rPr>
          <w:rFonts w:cstheme="minorHAnsi"/>
        </w:rPr>
        <w:t>G</w:t>
      </w:r>
      <w:r w:rsidRPr="009F3459">
        <w:rPr>
          <w:rFonts w:cstheme="minorHAnsi"/>
        </w:rPr>
        <w:t xml:space="preserve">eneral entregado por el </w:t>
      </w:r>
      <w:r>
        <w:rPr>
          <w:rFonts w:cstheme="minorHAnsi"/>
        </w:rPr>
        <w:t>C</w:t>
      </w:r>
      <w:r w:rsidRPr="009F3459">
        <w:rPr>
          <w:rFonts w:cstheme="minorHAnsi"/>
        </w:rPr>
        <w:t>onsejo, en su lugar present</w:t>
      </w:r>
      <w:r>
        <w:rPr>
          <w:rFonts w:cstheme="minorHAnsi"/>
        </w:rPr>
        <w:t>ó</w:t>
      </w:r>
      <w:r w:rsidRPr="009F3459">
        <w:rPr>
          <w:rFonts w:cstheme="minorHAnsi"/>
        </w:rPr>
        <w:t xml:space="preserve"> un documento que llama “PROGRAMA GENERAL DE EJECUCIÓN”, siendo éste, un extracto del “ESCRITO DE MANIFESTACIÓN GENERAL”; incumpliendo con la Nota No. 2 </w:t>
      </w:r>
      <w:r>
        <w:rPr>
          <w:rFonts w:cstheme="minorHAnsi"/>
        </w:rPr>
        <w:t>d</w:t>
      </w:r>
      <w:r w:rsidRPr="009F3459">
        <w:rPr>
          <w:rFonts w:cstheme="minorHAnsi"/>
        </w:rPr>
        <w:t xml:space="preserve">el Acta Circunstanciada </w:t>
      </w:r>
      <w:r>
        <w:rPr>
          <w:rFonts w:cstheme="minorHAnsi"/>
        </w:rPr>
        <w:t>de la</w:t>
      </w:r>
      <w:r w:rsidRPr="009F3459">
        <w:rPr>
          <w:rFonts w:cstheme="minorHAnsi"/>
        </w:rPr>
        <w:t xml:space="preserve"> Junta </w:t>
      </w:r>
      <w:r>
        <w:rPr>
          <w:rFonts w:cstheme="minorHAnsi"/>
        </w:rPr>
        <w:t>de</w:t>
      </w:r>
      <w:r w:rsidRPr="009F3459">
        <w:rPr>
          <w:rFonts w:cstheme="minorHAnsi"/>
        </w:rPr>
        <w:t xml:space="preserve"> Aclaraciones de fecha 30 de marzo del año en curso, así como con las bases de la licitación en los numerales 7.4.4 Y 8.3 “ANALISIS Y EVALUACIÓN DE LA PROPUESTA TÉCNICA”.</w:t>
      </w:r>
    </w:p>
    <w:p w:rsidR="00670E5E" w:rsidRPr="00514AB1" w:rsidRDefault="00670E5E" w:rsidP="009F3459">
      <w:pPr>
        <w:pStyle w:val="Sinespaciado"/>
        <w:ind w:left="720"/>
        <w:jc w:val="both"/>
        <w:rPr>
          <w:rFonts w:cstheme="minorHAnsi"/>
          <w:sz w:val="18"/>
        </w:rPr>
      </w:pPr>
    </w:p>
    <w:p w:rsidR="00670E5E" w:rsidRDefault="00670E5E" w:rsidP="009F3459">
      <w:pPr>
        <w:pStyle w:val="Sinespaciado"/>
        <w:ind w:left="720"/>
        <w:jc w:val="both"/>
        <w:rPr>
          <w:rFonts w:cstheme="minorHAnsi"/>
        </w:rPr>
      </w:pPr>
      <w:r w:rsidRPr="009F3459">
        <w:rPr>
          <w:rFonts w:cstheme="minorHAnsi"/>
        </w:rPr>
        <w:lastRenderedPageBreak/>
        <w:t>DOCUMENTO 7.4.5 T-5 “MANIFESTACIÓN DEL RESPÓNSABLE TÉCNICO REPRESENTANTE DE LA EMPRESA”, la empresa no present</w:t>
      </w:r>
      <w:r>
        <w:rPr>
          <w:rFonts w:cstheme="minorHAnsi"/>
        </w:rPr>
        <w:t>ó</w:t>
      </w:r>
      <w:r w:rsidRPr="009F3459">
        <w:rPr>
          <w:rFonts w:cstheme="minorHAnsi"/>
        </w:rPr>
        <w:t xml:space="preserve"> cédula profesional del responsable téc</w:t>
      </w:r>
      <w:r>
        <w:rPr>
          <w:rFonts w:cstheme="minorHAnsi"/>
        </w:rPr>
        <w:t>nico representante, sólo integró</w:t>
      </w:r>
      <w:r w:rsidRPr="009F3459">
        <w:rPr>
          <w:rFonts w:cstheme="minorHAnsi"/>
        </w:rPr>
        <w:t xml:space="preserve"> copia </w:t>
      </w:r>
      <w:r>
        <w:rPr>
          <w:rFonts w:cstheme="minorHAnsi"/>
        </w:rPr>
        <w:t xml:space="preserve">de un </w:t>
      </w:r>
      <w:r w:rsidRPr="009F3459">
        <w:rPr>
          <w:rFonts w:cstheme="minorHAnsi"/>
        </w:rPr>
        <w:t xml:space="preserve">currículum </w:t>
      </w:r>
      <w:r>
        <w:rPr>
          <w:rFonts w:cstheme="minorHAnsi"/>
        </w:rPr>
        <w:t>de una persona que únicamente realizó</w:t>
      </w:r>
      <w:r w:rsidRPr="009F3459">
        <w:rPr>
          <w:rFonts w:cstheme="minorHAnsi"/>
        </w:rPr>
        <w:t xml:space="preserve"> estudios a nivel bachillerato.</w:t>
      </w:r>
      <w:r>
        <w:rPr>
          <w:rFonts w:cstheme="minorHAnsi"/>
        </w:rPr>
        <w:t xml:space="preserve"> Por lo anterior, NO CUMPLIÓ</w:t>
      </w:r>
      <w:r w:rsidRPr="009F3459">
        <w:rPr>
          <w:rFonts w:cstheme="minorHAnsi"/>
        </w:rPr>
        <w:t xml:space="preserve"> con lo establecido en el numeral 8.3 “ANÁLISIS Y EVALUACIÓN DE LA PROPUESTA TÉCNICA”, EN SU INCISO T-5 ANEXO 7, último párrafo</w:t>
      </w:r>
      <w:r>
        <w:rPr>
          <w:rFonts w:cstheme="minorHAnsi"/>
        </w:rPr>
        <w:t>.</w:t>
      </w:r>
    </w:p>
    <w:p w:rsidR="00670E5E" w:rsidRPr="00514AB1" w:rsidRDefault="00670E5E" w:rsidP="00F84E44">
      <w:pPr>
        <w:pStyle w:val="Sinespaciado"/>
        <w:ind w:left="720"/>
        <w:jc w:val="both"/>
        <w:rPr>
          <w:rFonts w:cstheme="minorHAnsi"/>
          <w:snapToGrid w:val="0"/>
          <w:sz w:val="18"/>
        </w:rPr>
      </w:pPr>
    </w:p>
    <w:p w:rsidR="00670E5E" w:rsidRPr="00EF4E89" w:rsidRDefault="00670E5E" w:rsidP="00F84E44">
      <w:pPr>
        <w:pStyle w:val="Sinespaciado"/>
        <w:ind w:left="720"/>
        <w:jc w:val="both"/>
        <w:rPr>
          <w:rFonts w:asciiTheme="minorHAnsi" w:hAnsiTheme="minorHAnsi" w:cstheme="minorHAnsi"/>
        </w:rPr>
      </w:pPr>
      <w:r>
        <w:rPr>
          <w:rFonts w:cstheme="minorHAnsi"/>
          <w:snapToGrid w:val="0"/>
        </w:rPr>
        <w:t>S</w:t>
      </w:r>
      <w:r w:rsidRPr="00EF4E89">
        <w:rPr>
          <w:rFonts w:cstheme="minorHAnsi"/>
          <w:snapToGrid w:val="0"/>
        </w:rPr>
        <w:t>e descalific</w:t>
      </w:r>
      <w:r>
        <w:rPr>
          <w:rFonts w:cstheme="minorHAnsi"/>
          <w:snapToGrid w:val="0"/>
        </w:rPr>
        <w:t>ó</w:t>
      </w:r>
      <w:r w:rsidRPr="00EF4E89">
        <w:rPr>
          <w:rFonts w:cstheme="minorHAnsi"/>
          <w:snapToGrid w:val="0"/>
        </w:rPr>
        <w:t xml:space="preserve"> </w:t>
      </w:r>
      <w:r>
        <w:rPr>
          <w:rFonts w:cstheme="minorHAnsi"/>
          <w:snapToGrid w:val="0"/>
        </w:rPr>
        <w:t>la</w:t>
      </w:r>
      <w:r w:rsidRPr="00EF4E89">
        <w:rPr>
          <w:rFonts w:cstheme="minorHAnsi"/>
          <w:snapToGrid w:val="0"/>
        </w:rPr>
        <w:t xml:space="preserve"> propuesta</w:t>
      </w:r>
      <w:r>
        <w:rPr>
          <w:rFonts w:cstheme="minorHAnsi"/>
          <w:snapToGrid w:val="0"/>
        </w:rPr>
        <w:t xml:space="preserve"> </w:t>
      </w:r>
      <w:r w:rsidRPr="00EF4E89">
        <w:rPr>
          <w:rFonts w:cstheme="minorHAnsi"/>
          <w:snapToGrid w:val="0"/>
        </w:rPr>
        <w:t xml:space="preserve">con fundamento en </w:t>
      </w:r>
      <w:r>
        <w:rPr>
          <w:rFonts w:cstheme="minorHAnsi"/>
          <w:snapToGrid w:val="0"/>
        </w:rPr>
        <w:t xml:space="preserve">los </w:t>
      </w:r>
      <w:r w:rsidRPr="00EF4E89">
        <w:rPr>
          <w:rFonts w:cstheme="minorHAnsi"/>
          <w:snapToGrid w:val="0"/>
        </w:rPr>
        <w:t>inciso</w:t>
      </w:r>
      <w:r>
        <w:rPr>
          <w:rFonts w:cstheme="minorHAnsi"/>
          <w:snapToGrid w:val="0"/>
        </w:rPr>
        <w:t>s c), k</w:t>
      </w:r>
      <w:r w:rsidRPr="00EF4E89">
        <w:rPr>
          <w:rFonts w:cstheme="minorHAnsi"/>
          <w:snapToGrid w:val="0"/>
        </w:rPr>
        <w:t>)</w:t>
      </w:r>
      <w:r>
        <w:rPr>
          <w:rFonts w:cstheme="minorHAnsi"/>
          <w:snapToGrid w:val="0"/>
        </w:rPr>
        <w:t xml:space="preserve"> y g)</w:t>
      </w:r>
      <w:r w:rsidRPr="00EF4E89">
        <w:rPr>
          <w:rFonts w:cstheme="minorHAnsi"/>
          <w:snapToGrid w:val="0"/>
        </w:rPr>
        <w:t xml:space="preserve"> del numeral </w:t>
      </w:r>
      <w:r>
        <w:rPr>
          <w:rFonts w:cstheme="minorHAnsi"/>
          <w:snapToGrid w:val="0"/>
        </w:rPr>
        <w:t>10.1</w:t>
      </w:r>
      <w:r w:rsidRPr="00EF4E89">
        <w:rPr>
          <w:rFonts w:cstheme="minorHAnsi"/>
          <w:snapToGrid w:val="0"/>
        </w:rPr>
        <w:t xml:space="preserve"> “DESCALIFICACIÓN DE PARTICIPANTES” de las </w:t>
      </w:r>
      <w:r>
        <w:rPr>
          <w:rFonts w:cstheme="minorHAnsi"/>
          <w:snapToGrid w:val="0"/>
        </w:rPr>
        <w:t>B</w:t>
      </w:r>
      <w:r w:rsidRPr="00EF4E89">
        <w:rPr>
          <w:rFonts w:cstheme="minorHAnsi"/>
          <w:snapToGrid w:val="0"/>
        </w:rPr>
        <w:t>ases del procedimiento</w:t>
      </w:r>
      <w:r>
        <w:rPr>
          <w:rFonts w:cstheme="minorHAnsi"/>
          <w:snapToGrid w:val="0"/>
        </w:rPr>
        <w:t xml:space="preserve">. </w:t>
      </w:r>
    </w:p>
    <w:p w:rsidR="00670E5E" w:rsidRPr="003921D8" w:rsidRDefault="00670E5E" w:rsidP="00A04587">
      <w:pPr>
        <w:pStyle w:val="Sinespaciado"/>
        <w:ind w:left="714"/>
        <w:jc w:val="both"/>
        <w:rPr>
          <w:rFonts w:cstheme="minorHAnsi"/>
          <w:snapToGrid w:val="0"/>
          <w:sz w:val="20"/>
        </w:rPr>
      </w:pPr>
    </w:p>
    <w:p w:rsidR="00670E5E" w:rsidRPr="00A04587" w:rsidRDefault="00670E5E" w:rsidP="00A04587">
      <w:pPr>
        <w:pStyle w:val="Sinespaciado"/>
        <w:ind w:left="714"/>
        <w:jc w:val="both"/>
        <w:rPr>
          <w:rFonts w:cstheme="minorHAnsi"/>
          <w:snapToGrid w:val="0"/>
        </w:rPr>
      </w:pPr>
      <w:r w:rsidRPr="00A04587">
        <w:rPr>
          <w:rFonts w:cstheme="minorHAnsi"/>
          <w:snapToGrid w:val="0"/>
        </w:rPr>
        <w:t xml:space="preserve">Dictamen Financiero (página </w:t>
      </w:r>
      <w:r>
        <w:rPr>
          <w:rFonts w:cstheme="minorHAnsi"/>
          <w:snapToGrid w:val="0"/>
        </w:rPr>
        <w:t>3</w:t>
      </w:r>
      <w:r w:rsidRPr="00A04587">
        <w:rPr>
          <w:rFonts w:cstheme="minorHAnsi"/>
          <w:snapToGrid w:val="0"/>
        </w:rPr>
        <w:t xml:space="preserve"> del Anexo 8):</w:t>
      </w:r>
    </w:p>
    <w:p w:rsidR="00670E5E" w:rsidRDefault="00670E5E" w:rsidP="00A04587">
      <w:pPr>
        <w:pStyle w:val="Sinespaciado"/>
        <w:numPr>
          <w:ilvl w:val="0"/>
          <w:numId w:val="5"/>
        </w:numPr>
        <w:ind w:left="993" w:hanging="284"/>
        <w:jc w:val="both"/>
        <w:rPr>
          <w:rFonts w:cstheme="minorHAnsi"/>
          <w:snapToGrid w:val="0"/>
        </w:rPr>
      </w:pPr>
      <w:r>
        <w:rPr>
          <w:rFonts w:cstheme="minorHAnsi"/>
          <w:snapToGrid w:val="0"/>
        </w:rPr>
        <w:t xml:space="preserve">No presentó </w:t>
      </w:r>
      <w:r w:rsidRPr="00A04587">
        <w:rPr>
          <w:rFonts w:cstheme="minorHAnsi"/>
          <w:snapToGrid w:val="0"/>
        </w:rPr>
        <w:t>Estado</w:t>
      </w:r>
      <w:r>
        <w:rPr>
          <w:rFonts w:cstheme="minorHAnsi"/>
          <w:snapToGrid w:val="0"/>
        </w:rPr>
        <w:t>s Financieros con cierre al ejercicio inmediato anterior a la fecha en que se está llevando a cabo el procedimiento de contratación, de conformidad a lo establecido en el numeral 7.3.1. EF-1 de las Bases del procedimiento, hecho manifestado en el Acta de presentación y apertura de propuestas de fecha 07 de abril de 2016.</w:t>
      </w:r>
    </w:p>
    <w:p w:rsidR="00670E5E" w:rsidRPr="00514AB1" w:rsidRDefault="00670E5E" w:rsidP="00514AB1">
      <w:pPr>
        <w:pStyle w:val="Sinespaciado"/>
        <w:ind w:left="993"/>
        <w:jc w:val="both"/>
        <w:rPr>
          <w:rFonts w:cstheme="minorHAnsi"/>
          <w:snapToGrid w:val="0"/>
          <w:sz w:val="14"/>
        </w:rPr>
      </w:pPr>
    </w:p>
    <w:p w:rsidR="00670E5E" w:rsidRDefault="00670E5E" w:rsidP="00A04587">
      <w:pPr>
        <w:pStyle w:val="Sinespaciado"/>
        <w:numPr>
          <w:ilvl w:val="0"/>
          <w:numId w:val="5"/>
        </w:numPr>
        <w:tabs>
          <w:tab w:val="left" w:pos="993"/>
        </w:tabs>
        <w:ind w:left="993" w:hanging="284"/>
        <w:jc w:val="both"/>
        <w:rPr>
          <w:rFonts w:cstheme="minorHAnsi"/>
          <w:snapToGrid w:val="0"/>
        </w:rPr>
      </w:pPr>
      <w:r>
        <w:rPr>
          <w:rFonts w:cstheme="minorHAnsi"/>
          <w:snapToGrid w:val="0"/>
        </w:rPr>
        <w:t xml:space="preserve">No presentó </w:t>
      </w:r>
      <w:r w:rsidRPr="00A04587">
        <w:rPr>
          <w:rFonts w:cstheme="minorHAnsi"/>
          <w:snapToGrid w:val="0"/>
        </w:rPr>
        <w:t>Estado</w:t>
      </w:r>
      <w:r>
        <w:rPr>
          <w:rFonts w:cstheme="minorHAnsi"/>
          <w:snapToGrid w:val="0"/>
        </w:rPr>
        <w:t>s Financieros parciales con una antigüedad no mayor a tres meses a la fecha de presentación de la propuesta, de conformidad a lo establecido en el numeral 7.3.1. EF-1 de las Bases del procedimiento, presentando únicamente Estado de Resultados del 01 de enero al 31 de octubre de 2015 (folio 002), hecho manifestado en el Acta de presentación y apertura de propuestas de fecha 07 de abril de 2016.</w:t>
      </w:r>
    </w:p>
    <w:p w:rsidR="00670E5E" w:rsidRPr="00514AB1" w:rsidRDefault="00670E5E" w:rsidP="00514AB1">
      <w:pPr>
        <w:pStyle w:val="Sinespaciado"/>
        <w:tabs>
          <w:tab w:val="left" w:pos="993"/>
        </w:tabs>
        <w:ind w:firstLine="993"/>
        <w:jc w:val="both"/>
        <w:rPr>
          <w:rFonts w:cstheme="minorHAnsi"/>
          <w:snapToGrid w:val="0"/>
          <w:sz w:val="14"/>
        </w:rPr>
      </w:pPr>
    </w:p>
    <w:p w:rsidR="00670E5E" w:rsidRDefault="00670E5E" w:rsidP="00A04587">
      <w:pPr>
        <w:pStyle w:val="Sinespaciado"/>
        <w:numPr>
          <w:ilvl w:val="0"/>
          <w:numId w:val="5"/>
        </w:numPr>
        <w:ind w:left="993" w:hanging="284"/>
        <w:jc w:val="both"/>
        <w:rPr>
          <w:rFonts w:cstheme="minorHAnsi"/>
          <w:snapToGrid w:val="0"/>
        </w:rPr>
      </w:pPr>
      <w:r>
        <w:rPr>
          <w:rFonts w:cstheme="minorHAnsi"/>
          <w:snapToGrid w:val="0"/>
        </w:rPr>
        <w:t>No presentó copia fosfática simple de la declaración anual del Impuesto Sobre la Renta, correspondiente al ejercicio fiscal anterior a la fecha que se está llevando a cabo el procedimiento de contratación, en su lugar entregó escrito de manifestación de presentación de la Declaración (folio 005), hecho manifestado en el Acta de presentación y apertura de propuestas de fecha 07 de abril de 2016.</w:t>
      </w:r>
    </w:p>
    <w:p w:rsidR="00670E5E" w:rsidRPr="00514AB1" w:rsidRDefault="00670E5E" w:rsidP="00514AB1">
      <w:pPr>
        <w:pStyle w:val="Sinespaciado"/>
        <w:ind w:firstLine="993"/>
        <w:jc w:val="both"/>
        <w:rPr>
          <w:rFonts w:cstheme="minorHAnsi"/>
          <w:snapToGrid w:val="0"/>
          <w:sz w:val="14"/>
        </w:rPr>
      </w:pPr>
    </w:p>
    <w:p w:rsidR="00670E5E" w:rsidRDefault="00670E5E" w:rsidP="003828B6">
      <w:pPr>
        <w:pStyle w:val="Sinespaciado"/>
        <w:numPr>
          <w:ilvl w:val="0"/>
          <w:numId w:val="5"/>
        </w:numPr>
        <w:tabs>
          <w:tab w:val="left" w:pos="993"/>
        </w:tabs>
        <w:ind w:left="993" w:hanging="284"/>
        <w:jc w:val="both"/>
        <w:rPr>
          <w:rFonts w:cstheme="minorHAnsi"/>
          <w:snapToGrid w:val="0"/>
        </w:rPr>
      </w:pPr>
      <w:r>
        <w:rPr>
          <w:rFonts w:cstheme="minorHAnsi"/>
          <w:snapToGrid w:val="0"/>
        </w:rPr>
        <w:t>No presentó copia del registro de inscripción ante el IMSS e INFONAVIT, únicamente entregó copia de la tarjeta de identificación patronal, así como un escrito de manifestación de presentación de dicho registro (folios 006 y 007), hecho manifestado en el Acta de presentación y apertura de propuestas de fecha 07 de abril de 2016.</w:t>
      </w:r>
    </w:p>
    <w:p w:rsidR="00670E5E" w:rsidRPr="00514AB1" w:rsidRDefault="00670E5E" w:rsidP="00514AB1">
      <w:pPr>
        <w:pStyle w:val="Sinespaciado"/>
        <w:tabs>
          <w:tab w:val="left" w:pos="993"/>
        </w:tabs>
        <w:ind w:firstLine="993"/>
        <w:jc w:val="both"/>
        <w:rPr>
          <w:rFonts w:cstheme="minorHAnsi"/>
          <w:snapToGrid w:val="0"/>
          <w:sz w:val="14"/>
        </w:rPr>
      </w:pPr>
    </w:p>
    <w:p w:rsidR="00670E5E" w:rsidRDefault="00670E5E" w:rsidP="00A04587">
      <w:pPr>
        <w:pStyle w:val="Sinespaciado"/>
        <w:numPr>
          <w:ilvl w:val="0"/>
          <w:numId w:val="5"/>
        </w:numPr>
        <w:ind w:left="993" w:hanging="284"/>
        <w:jc w:val="both"/>
        <w:rPr>
          <w:rFonts w:cstheme="minorHAnsi"/>
          <w:snapToGrid w:val="0"/>
        </w:rPr>
      </w:pPr>
      <w:r>
        <w:rPr>
          <w:rFonts w:cstheme="minorHAnsi"/>
          <w:snapToGrid w:val="0"/>
        </w:rPr>
        <w:t>No presentó carta expedida por el IMSS, fechada con una antigüedad no mayor a 60 días naturales de la fecha de presentación de propuestas del procedimiento, en donde se hiciera constar que a la fecha de expedición del mismo no tenía adeudos por concepto de cuotas obrero patronales, en su lugar entregó escrito de manifestación de dicha carta, hecho manifestado en el Acta de presentación y apertura de propuestas de fecha 07 de abril de 2016.</w:t>
      </w:r>
    </w:p>
    <w:p w:rsidR="00670E5E" w:rsidRPr="00514AB1" w:rsidRDefault="00670E5E" w:rsidP="00514AB1">
      <w:pPr>
        <w:pStyle w:val="Sinespaciado"/>
        <w:ind w:left="993"/>
        <w:jc w:val="both"/>
        <w:rPr>
          <w:rFonts w:cstheme="minorHAnsi"/>
          <w:snapToGrid w:val="0"/>
          <w:sz w:val="14"/>
        </w:rPr>
      </w:pPr>
    </w:p>
    <w:p w:rsidR="00670E5E" w:rsidRDefault="00670E5E" w:rsidP="008A6A33">
      <w:pPr>
        <w:pStyle w:val="Sinespaciado"/>
        <w:numPr>
          <w:ilvl w:val="0"/>
          <w:numId w:val="5"/>
        </w:numPr>
        <w:ind w:left="993" w:hanging="284"/>
        <w:jc w:val="both"/>
        <w:rPr>
          <w:rFonts w:cstheme="minorHAnsi"/>
          <w:snapToGrid w:val="0"/>
        </w:rPr>
      </w:pPr>
      <w:r>
        <w:rPr>
          <w:rFonts w:cstheme="minorHAnsi"/>
          <w:snapToGrid w:val="0"/>
        </w:rPr>
        <w:t>No presentó carta expedida por el INFONAVIT, fechada con una antigüedad no mayor a 60 días naturales de la fecha de presentación de la propuesta, en donde se hiciera constar que a la fecha de expedición de la misma no tenía adeudos por concepto de cuotas obrero patronales, hecho manifestado en el Acta de presentación y apertura de propuestas de fecha 07 de abril de 2016</w:t>
      </w:r>
    </w:p>
    <w:p w:rsidR="00670E5E" w:rsidRDefault="00670E5E" w:rsidP="00F84E44">
      <w:pPr>
        <w:pStyle w:val="Sinespaciado"/>
        <w:ind w:left="720"/>
        <w:jc w:val="both"/>
        <w:rPr>
          <w:rFonts w:asciiTheme="minorHAnsi" w:hAnsiTheme="minorHAnsi" w:cstheme="minorHAnsi"/>
        </w:rPr>
      </w:pPr>
    </w:p>
    <w:p w:rsidR="00670E5E" w:rsidRPr="001A1D7D" w:rsidRDefault="00670E5E" w:rsidP="00F84E44">
      <w:pPr>
        <w:pStyle w:val="Sinespaciado"/>
        <w:ind w:left="720"/>
        <w:jc w:val="both"/>
        <w:rPr>
          <w:rFonts w:asciiTheme="minorHAnsi" w:hAnsiTheme="minorHAnsi" w:cstheme="minorHAnsi"/>
        </w:rPr>
      </w:pPr>
    </w:p>
    <w:p w:rsidR="00670E5E" w:rsidRPr="005E6489" w:rsidRDefault="00670E5E" w:rsidP="00F84E44">
      <w:pPr>
        <w:pStyle w:val="Sinespaciado"/>
        <w:numPr>
          <w:ilvl w:val="0"/>
          <w:numId w:val="5"/>
        </w:numPr>
        <w:jc w:val="both"/>
        <w:rPr>
          <w:rFonts w:asciiTheme="minorHAnsi" w:hAnsiTheme="minorHAnsi" w:cstheme="minorHAnsi"/>
        </w:rPr>
      </w:pPr>
      <w:r w:rsidRPr="00D33F82">
        <w:rPr>
          <w:rFonts w:cs="Calibri"/>
          <w:b/>
        </w:rPr>
        <w:lastRenderedPageBreak/>
        <w:t>PROSER EMPRESARIAL, S.A. DE C.V</w:t>
      </w:r>
      <w:r w:rsidRPr="009F3459">
        <w:rPr>
          <w:rFonts w:cs="Calibri"/>
          <w:b/>
        </w:rPr>
        <w:t>.</w:t>
      </w:r>
      <w:r w:rsidRPr="00327A39">
        <w:rPr>
          <w:rFonts w:asciiTheme="minorHAnsi" w:hAnsiTheme="minorHAnsi" w:cstheme="minorHAnsi"/>
          <w:b/>
        </w:rPr>
        <w:t>,</w:t>
      </w:r>
      <w:r w:rsidRPr="00EF4E89">
        <w:rPr>
          <w:rFonts w:asciiTheme="minorHAnsi" w:hAnsiTheme="minorHAnsi" w:cstheme="minorHAnsi"/>
        </w:rPr>
        <w:t xml:space="preserve"> </w:t>
      </w:r>
      <w:r w:rsidRPr="00EF4E89">
        <w:rPr>
          <w:rFonts w:cstheme="minorHAnsi"/>
          <w:snapToGrid w:val="0"/>
          <w:lang w:val="es-ES_tradnl"/>
        </w:rPr>
        <w:t xml:space="preserve">en </w:t>
      </w:r>
      <w:r>
        <w:rPr>
          <w:rFonts w:cstheme="minorHAnsi"/>
          <w:snapToGrid w:val="0"/>
          <w:lang w:val="es-ES_tradnl"/>
        </w:rPr>
        <w:t>el</w:t>
      </w:r>
      <w:r w:rsidRPr="00EF4E89">
        <w:rPr>
          <w:rFonts w:cstheme="minorHAnsi"/>
          <w:snapToGrid w:val="0"/>
          <w:lang w:val="es-ES_tradnl"/>
        </w:rPr>
        <w:t xml:space="preserve"> Dict</w:t>
      </w:r>
      <w:r>
        <w:rPr>
          <w:rFonts w:cstheme="minorHAnsi"/>
          <w:snapToGrid w:val="0"/>
          <w:lang w:val="es-ES_tradnl"/>
        </w:rPr>
        <w:t xml:space="preserve">amen </w:t>
      </w:r>
      <w:r w:rsidRPr="00EF4E89">
        <w:rPr>
          <w:rFonts w:cstheme="minorHAnsi"/>
          <w:snapToGrid w:val="0"/>
          <w:lang w:val="es-ES_tradnl"/>
        </w:rPr>
        <w:t xml:space="preserve">Resolutivo </w:t>
      </w:r>
      <w:r w:rsidRPr="00EF4E89">
        <w:rPr>
          <w:rFonts w:cstheme="minorHAnsi"/>
          <w:snapToGrid w:val="0"/>
          <w:color w:val="0000FF"/>
          <w:lang w:val="es-ES_tradnl"/>
        </w:rPr>
        <w:t>Técnico</w:t>
      </w:r>
      <w:r>
        <w:rPr>
          <w:rFonts w:cstheme="minorHAnsi"/>
          <w:snapToGrid w:val="0"/>
          <w:color w:val="0000FF"/>
          <w:lang w:val="es-ES_tradnl"/>
        </w:rPr>
        <w:t xml:space="preserve"> </w:t>
      </w:r>
      <w:r>
        <w:rPr>
          <w:rFonts w:cstheme="minorHAnsi"/>
          <w:snapToGrid w:val="0"/>
        </w:rPr>
        <w:t>(página 4 del Anexo 9)</w:t>
      </w:r>
      <w:r>
        <w:rPr>
          <w:rFonts w:cstheme="minorHAnsi"/>
          <w:snapToGrid w:val="0"/>
          <w:lang w:val="es-ES_tradnl"/>
        </w:rPr>
        <w:t xml:space="preserve"> </w:t>
      </w:r>
      <w:r>
        <w:rPr>
          <w:rFonts w:cstheme="minorHAnsi"/>
          <w:snapToGrid w:val="0"/>
        </w:rPr>
        <w:t xml:space="preserve">se manifiesta </w:t>
      </w:r>
      <w:r w:rsidRPr="00EF4E89">
        <w:rPr>
          <w:rFonts w:cstheme="minorHAnsi"/>
          <w:snapToGrid w:val="0"/>
        </w:rPr>
        <w:t>lo siguiente:</w:t>
      </w:r>
    </w:p>
    <w:p w:rsidR="00670E5E" w:rsidRPr="00514AB1" w:rsidRDefault="00670E5E" w:rsidP="00F84E44">
      <w:pPr>
        <w:pStyle w:val="Sinespaciado"/>
        <w:ind w:left="720"/>
        <w:jc w:val="both"/>
        <w:rPr>
          <w:rFonts w:asciiTheme="minorHAnsi" w:hAnsiTheme="minorHAnsi" w:cstheme="minorHAnsi"/>
          <w:sz w:val="20"/>
        </w:rPr>
      </w:pPr>
    </w:p>
    <w:p w:rsidR="00670E5E" w:rsidRDefault="00670E5E" w:rsidP="00F84E44">
      <w:pPr>
        <w:pStyle w:val="Sinespaciado"/>
        <w:ind w:left="714"/>
        <w:jc w:val="both"/>
        <w:rPr>
          <w:rFonts w:cstheme="minorHAnsi"/>
          <w:snapToGrid w:val="0"/>
          <w:sz w:val="20"/>
        </w:rPr>
      </w:pPr>
      <w:r w:rsidRPr="00F84E44">
        <w:rPr>
          <w:rFonts w:cstheme="minorHAnsi"/>
          <w:snapToGrid w:val="0"/>
          <w:sz w:val="20"/>
        </w:rPr>
        <w:t>DOCUMENTO 7.4.5 T-5 “MANIFESTACIÓN DEL RESPÓNSABLE TÉCNICO REPRESENTANTE DE LA EMPRESA”, la empresa no present</w:t>
      </w:r>
      <w:r>
        <w:rPr>
          <w:rFonts w:cstheme="minorHAnsi"/>
          <w:snapToGrid w:val="0"/>
          <w:sz w:val="20"/>
        </w:rPr>
        <w:t>ó</w:t>
      </w:r>
      <w:r w:rsidRPr="00F84E44">
        <w:rPr>
          <w:rFonts w:cstheme="minorHAnsi"/>
          <w:snapToGrid w:val="0"/>
          <w:sz w:val="20"/>
        </w:rPr>
        <w:t xml:space="preserve"> cédula profesional del responsable técnico representante, s</w:t>
      </w:r>
      <w:r>
        <w:rPr>
          <w:rFonts w:cstheme="minorHAnsi"/>
          <w:snapToGrid w:val="0"/>
          <w:sz w:val="20"/>
        </w:rPr>
        <w:t>ó</w:t>
      </w:r>
      <w:r w:rsidRPr="00F84E44">
        <w:rPr>
          <w:rFonts w:cstheme="minorHAnsi"/>
          <w:snapToGrid w:val="0"/>
          <w:sz w:val="20"/>
        </w:rPr>
        <w:t>lo integr</w:t>
      </w:r>
      <w:r>
        <w:rPr>
          <w:rFonts w:cstheme="minorHAnsi"/>
          <w:snapToGrid w:val="0"/>
          <w:sz w:val="20"/>
        </w:rPr>
        <w:t>ó</w:t>
      </w:r>
      <w:r w:rsidRPr="00F84E44">
        <w:rPr>
          <w:rFonts w:cstheme="minorHAnsi"/>
          <w:snapToGrid w:val="0"/>
          <w:sz w:val="20"/>
        </w:rPr>
        <w:t xml:space="preserve"> copia de título de ingeniero electricista, documento no solicitado.</w:t>
      </w:r>
      <w:r>
        <w:rPr>
          <w:rFonts w:cstheme="minorHAnsi"/>
          <w:snapToGrid w:val="0"/>
          <w:sz w:val="20"/>
        </w:rPr>
        <w:t xml:space="preserve"> </w:t>
      </w:r>
    </w:p>
    <w:p w:rsidR="00670E5E" w:rsidRPr="003921D8" w:rsidRDefault="00670E5E" w:rsidP="00F84E44">
      <w:pPr>
        <w:pStyle w:val="Sinespaciado"/>
        <w:ind w:left="714"/>
        <w:jc w:val="both"/>
        <w:rPr>
          <w:rFonts w:cstheme="minorHAnsi"/>
          <w:snapToGrid w:val="0"/>
          <w:sz w:val="20"/>
        </w:rPr>
      </w:pPr>
      <w:r w:rsidRPr="00F84E44">
        <w:rPr>
          <w:rFonts w:cstheme="minorHAnsi"/>
          <w:snapToGrid w:val="0"/>
          <w:sz w:val="20"/>
        </w:rPr>
        <w:t xml:space="preserve">Por lo anterior, </w:t>
      </w:r>
      <w:r>
        <w:rPr>
          <w:rFonts w:cstheme="minorHAnsi"/>
          <w:snapToGrid w:val="0"/>
          <w:sz w:val="20"/>
        </w:rPr>
        <w:t xml:space="preserve">se determinó que </w:t>
      </w:r>
      <w:r w:rsidRPr="00F84E44">
        <w:rPr>
          <w:rFonts w:cstheme="minorHAnsi"/>
          <w:snapToGrid w:val="0"/>
          <w:sz w:val="20"/>
        </w:rPr>
        <w:t>NO CUMPL</w:t>
      </w:r>
      <w:r>
        <w:rPr>
          <w:rFonts w:cstheme="minorHAnsi"/>
          <w:snapToGrid w:val="0"/>
          <w:sz w:val="20"/>
        </w:rPr>
        <w:t>IÓ</w:t>
      </w:r>
      <w:r w:rsidRPr="00F84E44">
        <w:rPr>
          <w:rFonts w:cstheme="minorHAnsi"/>
          <w:snapToGrid w:val="0"/>
          <w:sz w:val="20"/>
        </w:rPr>
        <w:t xml:space="preserve"> con lo establecido en el numeral 8.3 “ANÁLISIS Y EVALUACIÓN DE LA PROPUESTA TÉCNICA”, EN SU INCISO T-5 ANEXO 7, último párrafo</w:t>
      </w:r>
      <w:r>
        <w:rPr>
          <w:rFonts w:cstheme="minorHAnsi"/>
          <w:snapToGrid w:val="0"/>
          <w:sz w:val="20"/>
        </w:rPr>
        <w:t>.</w:t>
      </w:r>
    </w:p>
    <w:p w:rsidR="00670E5E" w:rsidRPr="00514AB1" w:rsidRDefault="00670E5E" w:rsidP="009F3459">
      <w:pPr>
        <w:pStyle w:val="Sinespaciado"/>
        <w:ind w:left="720"/>
        <w:jc w:val="both"/>
        <w:rPr>
          <w:rFonts w:cstheme="minorHAnsi"/>
          <w:sz w:val="16"/>
        </w:rPr>
      </w:pPr>
    </w:p>
    <w:p w:rsidR="00670E5E" w:rsidRPr="00EF4E89" w:rsidRDefault="00670E5E" w:rsidP="00F84E44">
      <w:pPr>
        <w:pStyle w:val="Sinespaciado"/>
        <w:ind w:left="720"/>
        <w:jc w:val="both"/>
        <w:rPr>
          <w:rFonts w:asciiTheme="minorHAnsi" w:hAnsiTheme="minorHAnsi" w:cstheme="minorHAnsi"/>
        </w:rPr>
      </w:pPr>
      <w:r>
        <w:rPr>
          <w:rFonts w:cstheme="minorHAnsi"/>
          <w:snapToGrid w:val="0"/>
        </w:rPr>
        <w:t>S</w:t>
      </w:r>
      <w:r w:rsidRPr="00EF4E89">
        <w:rPr>
          <w:rFonts w:cstheme="minorHAnsi"/>
          <w:snapToGrid w:val="0"/>
        </w:rPr>
        <w:t>e descalific</w:t>
      </w:r>
      <w:r>
        <w:rPr>
          <w:rFonts w:cstheme="minorHAnsi"/>
          <w:snapToGrid w:val="0"/>
        </w:rPr>
        <w:t>ó</w:t>
      </w:r>
      <w:r w:rsidRPr="00EF4E89">
        <w:rPr>
          <w:rFonts w:cstheme="minorHAnsi"/>
          <w:snapToGrid w:val="0"/>
        </w:rPr>
        <w:t xml:space="preserve"> </w:t>
      </w:r>
      <w:r>
        <w:rPr>
          <w:rFonts w:cstheme="minorHAnsi"/>
          <w:snapToGrid w:val="0"/>
        </w:rPr>
        <w:t>la</w:t>
      </w:r>
      <w:r w:rsidRPr="00EF4E89">
        <w:rPr>
          <w:rFonts w:cstheme="minorHAnsi"/>
          <w:snapToGrid w:val="0"/>
        </w:rPr>
        <w:t xml:space="preserve"> propuesta</w:t>
      </w:r>
      <w:r>
        <w:rPr>
          <w:rFonts w:cstheme="minorHAnsi"/>
          <w:snapToGrid w:val="0"/>
        </w:rPr>
        <w:t xml:space="preserve"> </w:t>
      </w:r>
      <w:r w:rsidRPr="00EF4E89">
        <w:rPr>
          <w:rFonts w:cstheme="minorHAnsi"/>
          <w:snapToGrid w:val="0"/>
        </w:rPr>
        <w:t xml:space="preserve">con fundamento en el inciso </w:t>
      </w:r>
      <w:r>
        <w:rPr>
          <w:rFonts w:cstheme="minorHAnsi"/>
          <w:snapToGrid w:val="0"/>
        </w:rPr>
        <w:t>k</w:t>
      </w:r>
      <w:r w:rsidRPr="00EF4E89">
        <w:rPr>
          <w:rFonts w:cstheme="minorHAnsi"/>
          <w:snapToGrid w:val="0"/>
        </w:rPr>
        <w:t xml:space="preserve">) del numeral </w:t>
      </w:r>
      <w:r>
        <w:rPr>
          <w:rFonts w:cstheme="minorHAnsi"/>
          <w:snapToGrid w:val="0"/>
        </w:rPr>
        <w:t>10.1</w:t>
      </w:r>
      <w:r w:rsidRPr="00EF4E89">
        <w:rPr>
          <w:rFonts w:cstheme="minorHAnsi"/>
          <w:snapToGrid w:val="0"/>
        </w:rPr>
        <w:t xml:space="preserve"> “DESCALIFICACIÓN DE PARTICIPANTES” de las bases del procedimiento</w:t>
      </w:r>
      <w:r>
        <w:rPr>
          <w:rFonts w:cstheme="minorHAnsi"/>
          <w:snapToGrid w:val="0"/>
        </w:rPr>
        <w:t xml:space="preserve">. </w:t>
      </w:r>
    </w:p>
    <w:p w:rsidR="00670E5E" w:rsidRPr="00514AB1" w:rsidRDefault="00670E5E" w:rsidP="00667E85">
      <w:pPr>
        <w:tabs>
          <w:tab w:val="left" w:pos="5529"/>
        </w:tabs>
        <w:spacing w:after="0" w:line="240" w:lineRule="auto"/>
        <w:jc w:val="both"/>
        <w:rPr>
          <w:rFonts w:ascii="Calibri" w:eastAsia="Calibri" w:hAnsi="Calibri" w:cstheme="minorHAnsi"/>
          <w:sz w:val="12"/>
        </w:rPr>
      </w:pPr>
    </w:p>
    <w:p w:rsidR="00670E5E" w:rsidRDefault="00670E5E" w:rsidP="00667E85">
      <w:pPr>
        <w:tabs>
          <w:tab w:val="left" w:pos="5529"/>
        </w:tabs>
        <w:spacing w:after="0" w:line="240" w:lineRule="auto"/>
        <w:jc w:val="both"/>
        <w:rPr>
          <w:rFonts w:ascii="Calibri" w:eastAsia="Calibri" w:hAnsi="Calibri" w:cstheme="minorHAnsi"/>
        </w:rPr>
      </w:pPr>
    </w:p>
    <w:p w:rsidR="00670E5E" w:rsidRDefault="00670E5E" w:rsidP="00667E85">
      <w:pPr>
        <w:tabs>
          <w:tab w:val="left" w:pos="5529"/>
        </w:tabs>
        <w:spacing w:after="0" w:line="240" w:lineRule="auto"/>
        <w:jc w:val="both"/>
        <w:rPr>
          <w:rFonts w:ascii="Calibri" w:eastAsia="Calibri" w:hAnsi="Calibri" w:cstheme="minorHAnsi"/>
        </w:rPr>
      </w:pPr>
    </w:p>
    <w:p w:rsidR="00670E5E" w:rsidRDefault="00670E5E" w:rsidP="005B3567">
      <w:pPr>
        <w:pStyle w:val="Prrafodelista"/>
        <w:numPr>
          <w:ilvl w:val="0"/>
          <w:numId w:val="6"/>
        </w:numPr>
        <w:spacing w:after="0"/>
        <w:ind w:left="284" w:right="20" w:hanging="284"/>
        <w:jc w:val="both"/>
        <w:rPr>
          <w:rFonts w:cstheme="minorHAnsi"/>
          <w:b/>
        </w:rPr>
      </w:pPr>
      <w:r w:rsidRPr="00FB31D7">
        <w:rPr>
          <w:rFonts w:cstheme="minorHAnsi"/>
          <w:b/>
        </w:rPr>
        <w:t xml:space="preserve">PROPUESTA DE ADJUDICACIÓN. </w:t>
      </w:r>
    </w:p>
    <w:p w:rsidR="00670E5E" w:rsidRPr="00514AB1" w:rsidRDefault="00670E5E" w:rsidP="00514AB1">
      <w:pPr>
        <w:pStyle w:val="Prrafodelista"/>
        <w:spacing w:after="0"/>
        <w:ind w:left="284" w:right="20"/>
        <w:jc w:val="both"/>
        <w:rPr>
          <w:rFonts w:cstheme="minorHAnsi"/>
          <w:b/>
          <w:sz w:val="14"/>
        </w:rPr>
      </w:pPr>
    </w:p>
    <w:p w:rsidR="00670E5E" w:rsidRDefault="00670E5E" w:rsidP="00667E85">
      <w:pPr>
        <w:widowControl w:val="0"/>
        <w:spacing w:after="0" w:line="240" w:lineRule="auto"/>
        <w:jc w:val="both"/>
        <w:rPr>
          <w:rFonts w:cstheme="minorHAnsi"/>
          <w:lang w:val="es-ES_tradnl"/>
        </w:rPr>
      </w:pPr>
      <w:r w:rsidRPr="00667E85">
        <w:rPr>
          <w:rFonts w:cstheme="minorHAnsi"/>
          <w:lang w:val="es-ES_tradnl"/>
        </w:rPr>
        <w:t xml:space="preserve">La Dirección General de Inmuebles y Mantenimiento, en su carácter de instancia competente para la tramitación y adjudicación del procedimiento mediante </w:t>
      </w:r>
      <w:r w:rsidRPr="00710CC2">
        <w:rPr>
          <w:rFonts w:cstheme="minorHAnsi"/>
          <w:noProof/>
          <w:color w:val="0000FF"/>
          <w:lang w:val="es-ES_tradnl"/>
        </w:rPr>
        <w:t>INVITACIÓN A CUANDO MENOS TRES CONTRATISTAS</w:t>
      </w:r>
      <w:r>
        <w:rPr>
          <w:rFonts w:cstheme="minorHAnsi"/>
          <w:noProof/>
          <w:color w:val="0000FF"/>
          <w:lang w:val="es-ES_tradnl"/>
        </w:rPr>
        <w:t xml:space="preserve"> </w:t>
      </w:r>
      <w:r w:rsidRPr="00667E85">
        <w:rPr>
          <w:rFonts w:cstheme="minorHAnsi"/>
        </w:rPr>
        <w:t xml:space="preserve">No. </w:t>
      </w:r>
      <w:r w:rsidRPr="00710CC2">
        <w:rPr>
          <w:rFonts w:cstheme="minorHAnsi"/>
          <w:noProof/>
          <w:color w:val="0000FF"/>
        </w:rPr>
        <w:t>CJF-07/ITC/PMECM/2016</w:t>
      </w:r>
      <w:r w:rsidRPr="00667E85">
        <w:rPr>
          <w:rFonts w:cstheme="minorHAnsi"/>
        </w:rPr>
        <w:t xml:space="preserve">, </w:t>
      </w:r>
      <w:r w:rsidRPr="00710CC2">
        <w:rPr>
          <w:rFonts w:cstheme="minorHAnsi"/>
          <w:noProof/>
          <w:color w:val="0000FF"/>
        </w:rPr>
        <w:t>sobre la base de Precios Unitarios y Tiempo Determinado</w:t>
      </w:r>
      <w:r w:rsidRPr="00667E85">
        <w:rPr>
          <w:rFonts w:cstheme="minorHAnsi"/>
        </w:rPr>
        <w:t xml:space="preserve"> para la ejecución de l</w:t>
      </w:r>
      <w:r>
        <w:rPr>
          <w:rFonts w:cstheme="minorHAnsi"/>
        </w:rPr>
        <w:t>a</w:t>
      </w:r>
      <w:r w:rsidRPr="00667E85">
        <w:rPr>
          <w:rFonts w:cstheme="minorHAnsi"/>
        </w:rPr>
        <w:t xml:space="preserve"> </w:t>
      </w:r>
      <w:r w:rsidRPr="00710CC2">
        <w:rPr>
          <w:rFonts w:cstheme="minorHAnsi"/>
          <w:noProof/>
          <w:color w:val="0000FF"/>
        </w:rPr>
        <w:t>"PÓLIZA DE MANTENIMIENTO PREVENTIVO Y CORRECTIVO AL SISTEMA DE AIRE ACONDICIONADO PARA EL CENTRO DE CÓMPUTO PRINCIPAL DEL CONSEJO, UBICADO EN EL EDIFICIO SEDE DENOMINADO CANOA  EN LA CIUDAD DE MÉXICO" Y</w:t>
      </w:r>
      <w:r>
        <w:rPr>
          <w:rFonts w:cstheme="minorHAnsi"/>
          <w:noProof/>
          <w:color w:val="0000FF"/>
        </w:rPr>
        <w:t xml:space="preserve"> </w:t>
      </w:r>
      <w:r w:rsidRPr="00710CC2">
        <w:rPr>
          <w:rFonts w:cstheme="minorHAnsi"/>
          <w:noProof/>
          <w:color w:val="0000FF"/>
        </w:rPr>
        <w:t>"PÓLIZA DE MANTENIMIENTO PREVENTIVO Y CORRECTIVO AL SISTEMA DE ENERGÍA ININTERRUMPIDA, UP´S, TABLEROS DE UNIDADES DE DISTRIBUCIÓN DE ENERGÍA REGULADA, SUPRESORES DE TRANSITORIOS, TRANSFORMADORES, ELECTRODUCTOS, SISTEMAS DE TRANSFERENCIA AUTOMÁTICA,</w:t>
      </w:r>
      <w:r>
        <w:rPr>
          <w:rFonts w:cstheme="minorHAnsi"/>
          <w:noProof/>
          <w:color w:val="0000FF"/>
        </w:rPr>
        <w:t xml:space="preserve"> </w:t>
      </w:r>
      <w:r w:rsidRPr="00710CC2">
        <w:rPr>
          <w:rFonts w:cstheme="minorHAnsi"/>
          <w:noProof/>
          <w:color w:val="0000FF"/>
        </w:rPr>
        <w:t>INTERRUPTORES TERMOMAGNÉTICOS PARA EL CENTRO DE CÓMPUTO PRINCIPAL DEL CONSEJO, UBICADO EN EL EDIFICIO SEDE DENOMINADO CANOA EN LA CIUDAD DE MÉXICO"</w:t>
      </w:r>
      <w:r w:rsidRPr="00667E85">
        <w:rPr>
          <w:rFonts w:cstheme="minorHAnsi"/>
          <w:noProof/>
          <w:color w:val="0000FF"/>
        </w:rPr>
        <w:t xml:space="preserve">, </w:t>
      </w:r>
      <w:r w:rsidRPr="00667E85">
        <w:rPr>
          <w:rFonts w:cstheme="minorHAnsi"/>
        </w:rPr>
        <w:t xml:space="preserve">ubicado en </w:t>
      </w:r>
      <w:r w:rsidRPr="00710CC2">
        <w:rPr>
          <w:rFonts w:cstheme="minorHAnsi"/>
          <w:noProof/>
          <w:color w:val="0000FF"/>
        </w:rPr>
        <w:t>Avenida Canoa No. 79, Colonia Tizapán San Ángel, C.P. 01090, Delegación Álvaro Obregón, Ciudad de México</w:t>
      </w:r>
      <w:r w:rsidRPr="00667E85">
        <w:rPr>
          <w:rFonts w:cstheme="minorHAnsi"/>
        </w:rPr>
        <w:t xml:space="preserve">, </w:t>
      </w:r>
      <w:r w:rsidRPr="00667E85">
        <w:rPr>
          <w:rFonts w:cstheme="minorHAnsi"/>
          <w:lang w:val="es-ES_tradnl"/>
        </w:rPr>
        <w:t>con base en los dictámenes resolutivos emitidos por las instancias competentes determina lo siguiente:</w:t>
      </w:r>
    </w:p>
    <w:p w:rsidR="00670E5E" w:rsidRDefault="00670E5E" w:rsidP="00667E85">
      <w:pPr>
        <w:widowControl w:val="0"/>
        <w:spacing w:after="0" w:line="240" w:lineRule="auto"/>
        <w:jc w:val="both"/>
        <w:rPr>
          <w:rFonts w:cstheme="minorHAnsi"/>
          <w:lang w:val="es-ES_tradnl"/>
        </w:rPr>
      </w:pPr>
    </w:p>
    <w:p w:rsidR="00670E5E" w:rsidRPr="00667E85" w:rsidRDefault="00670E5E" w:rsidP="00667E85">
      <w:pPr>
        <w:widowControl w:val="0"/>
        <w:spacing w:after="0" w:line="240" w:lineRule="auto"/>
        <w:jc w:val="both"/>
        <w:rPr>
          <w:rFonts w:cstheme="minorHAnsi"/>
          <w:lang w:val="es-ES_tradnl"/>
        </w:rPr>
      </w:pPr>
    </w:p>
    <w:p w:rsidR="00670E5E" w:rsidRPr="00667E85" w:rsidRDefault="00670E5E" w:rsidP="00667E85">
      <w:pPr>
        <w:widowControl w:val="0"/>
        <w:spacing w:after="0" w:line="240" w:lineRule="auto"/>
        <w:jc w:val="both"/>
        <w:rPr>
          <w:rFonts w:cstheme="minorHAnsi"/>
        </w:rPr>
      </w:pPr>
      <w:r w:rsidRPr="00667E85">
        <w:rPr>
          <w:rFonts w:cstheme="minorHAnsi"/>
          <w:lang w:val="es-ES_tradnl"/>
        </w:rPr>
        <w:t xml:space="preserve">Con fundamento en el artículo 263, fracción III y 358 del Acuerdo General del Pleno del Consejo de la Judicatura Federal, que establece las disposiciones en materia de actividad administrativa del propio Consejo, determina factible adjudicar el contrato respectivo a la empresa </w:t>
      </w:r>
      <w:r w:rsidRPr="00710CC2">
        <w:rPr>
          <w:rFonts w:cstheme="minorHAnsi"/>
          <w:b/>
          <w:noProof/>
          <w:color w:val="0000FF"/>
          <w:lang w:val="es-ES_tradnl"/>
        </w:rPr>
        <w:t>SISTEMAS AVANZADOS EN COMPUTACIÓN DE MÉXICO, S.A. DE C.V.</w:t>
      </w:r>
      <w:r w:rsidRPr="00667E85">
        <w:rPr>
          <w:rFonts w:cstheme="minorHAnsi"/>
          <w:b/>
          <w:i/>
          <w:noProof/>
          <w:color w:val="0000FF"/>
          <w:lang w:val="es-ES_tradnl"/>
        </w:rPr>
        <w:t>,</w:t>
      </w:r>
      <w:r w:rsidRPr="00667E85">
        <w:rPr>
          <w:rFonts w:cstheme="minorHAnsi"/>
          <w:lang w:val="es-ES_tradnl"/>
        </w:rPr>
        <w:t xml:space="preserve"> </w:t>
      </w:r>
      <w:r w:rsidRPr="00667E85">
        <w:rPr>
          <w:rFonts w:cstheme="minorHAnsi"/>
        </w:rPr>
        <w:t xml:space="preserve">por un monto de </w:t>
      </w:r>
      <w:r w:rsidRPr="00710CC2">
        <w:rPr>
          <w:rFonts w:cstheme="minorHAnsi"/>
          <w:b/>
          <w:noProof/>
          <w:color w:val="0000FF"/>
        </w:rPr>
        <w:t>$3'693,130.48</w:t>
      </w:r>
      <w:r>
        <w:rPr>
          <w:rFonts w:cstheme="minorHAnsi"/>
          <w:b/>
          <w:noProof/>
          <w:color w:val="0000FF"/>
        </w:rPr>
        <w:t xml:space="preserve"> </w:t>
      </w:r>
      <w:r w:rsidRPr="00710CC2">
        <w:rPr>
          <w:rFonts w:cstheme="minorHAnsi"/>
          <w:b/>
          <w:noProof/>
          <w:color w:val="0000FF"/>
        </w:rPr>
        <w:t>(Tres millones seiscientos noventa y tres mil ciento treinta pesos 48/100 M.N.)</w:t>
      </w:r>
      <w:r w:rsidRPr="00667E85">
        <w:rPr>
          <w:rFonts w:cstheme="minorHAnsi"/>
          <w:b/>
        </w:rPr>
        <w:t xml:space="preserve"> I.V.A. incluido, </w:t>
      </w:r>
      <w:r w:rsidRPr="00667E85">
        <w:rPr>
          <w:rFonts w:cstheme="minorHAnsi"/>
        </w:rPr>
        <w:t>con un periodo de ejecución de</w:t>
      </w:r>
      <w:r w:rsidRPr="00667E85">
        <w:rPr>
          <w:rFonts w:cstheme="minorHAnsi"/>
          <w:color w:val="0000FF"/>
        </w:rPr>
        <w:t xml:space="preserve"> </w:t>
      </w:r>
      <w:r w:rsidRPr="00710CC2">
        <w:rPr>
          <w:rFonts w:cstheme="minorHAnsi"/>
          <w:noProof/>
          <w:color w:val="0000FF"/>
        </w:rPr>
        <w:t>244</w:t>
      </w:r>
      <w:r w:rsidRPr="00667E85">
        <w:rPr>
          <w:rFonts w:cstheme="minorHAnsi"/>
          <w:noProof/>
          <w:color w:val="0000FF"/>
        </w:rPr>
        <w:t xml:space="preserve"> </w:t>
      </w:r>
      <w:r w:rsidRPr="00667E85">
        <w:rPr>
          <w:rFonts w:cstheme="minorHAnsi"/>
        </w:rPr>
        <w:t>días naturales</w:t>
      </w:r>
      <w:r>
        <w:rPr>
          <w:rFonts w:cstheme="minorHAnsi"/>
        </w:rPr>
        <w:t xml:space="preserve">, </w:t>
      </w:r>
      <w:r w:rsidRPr="00F26CDE">
        <w:rPr>
          <w:rFonts w:cstheme="minorHAnsi"/>
        </w:rPr>
        <w:t>sin otorgar anticipo</w:t>
      </w:r>
      <w:r>
        <w:rPr>
          <w:rFonts w:cstheme="minorHAnsi"/>
        </w:rPr>
        <w:t xml:space="preserve">, </w:t>
      </w:r>
      <w:r w:rsidRPr="00667E85">
        <w:rPr>
          <w:rFonts w:cstheme="minorHAnsi"/>
        </w:rPr>
        <w:t xml:space="preserve">en virtud de que su propuesta resulta ser económicamente la más conveniente para el Consejo y reúne conforme a los criterios de adjudicación, establecidos en las bases del procedimiento, las condiciones legales, técnicas y económicas requeridas para garantizar el cumplimiento de las obligaciones respectivas. </w:t>
      </w:r>
    </w:p>
    <w:p w:rsidR="00670E5E" w:rsidRDefault="00670E5E">
      <w:pPr>
        <w:rPr>
          <w:rFonts w:eastAsia="Calibri" w:cstheme="minorHAnsi"/>
        </w:rPr>
      </w:pPr>
      <w:r>
        <w:rPr>
          <w:rFonts w:eastAsia="Calibri" w:cstheme="minorHAnsi"/>
        </w:rPr>
        <w:br w:type="page"/>
      </w:r>
    </w:p>
    <w:p w:rsidR="00670E5E" w:rsidRDefault="00670E5E" w:rsidP="00667E85">
      <w:pPr>
        <w:spacing w:after="0" w:line="240" w:lineRule="auto"/>
        <w:jc w:val="both"/>
        <w:rPr>
          <w:rFonts w:eastAsia="Calibri" w:cstheme="minorHAnsi"/>
        </w:rPr>
      </w:pPr>
    </w:p>
    <w:p w:rsidR="00670E5E" w:rsidRPr="00667E85" w:rsidRDefault="00670E5E" w:rsidP="00667E85">
      <w:pPr>
        <w:spacing w:after="0" w:line="240" w:lineRule="auto"/>
        <w:jc w:val="both"/>
        <w:rPr>
          <w:rFonts w:eastAsia="Calibri" w:cstheme="minorHAnsi"/>
          <w:b/>
        </w:rPr>
      </w:pPr>
      <w:r w:rsidRPr="00667E85">
        <w:rPr>
          <w:rFonts w:eastAsia="Calibri" w:cstheme="minorHAnsi"/>
        </w:rPr>
        <w:t xml:space="preserve">Finalmente, a efecto de verificar el cumplimiento de lo dispuesto en el artículo 299, fracciones I y IV del </w:t>
      </w:r>
      <w:r w:rsidRPr="00667E85">
        <w:rPr>
          <w:rFonts w:ascii="Calibri" w:eastAsia="Calibri" w:hAnsi="Calibri" w:cstheme="minorHAnsi"/>
        </w:rPr>
        <w:t>Acuerdo General del Pleno del Consejo de la Judicatura Federal, que establece las disposiciones en materia de actividad administrativa del propio Consejo</w:t>
      </w:r>
      <w:r w:rsidRPr="00667E85">
        <w:rPr>
          <w:rFonts w:eastAsia="Calibri" w:cstheme="minorHAnsi"/>
        </w:rPr>
        <w:t xml:space="preserve">, se verificó que la empresa </w:t>
      </w:r>
      <w:r w:rsidRPr="00710CC2">
        <w:rPr>
          <w:rFonts w:ascii="Calibri" w:eastAsia="Calibri" w:hAnsi="Calibri" w:cstheme="minorHAnsi"/>
          <w:b/>
          <w:i/>
          <w:noProof/>
          <w:color w:val="0000FF"/>
          <w:lang w:val="es-ES_tradnl"/>
        </w:rPr>
        <w:t>SISTEMAS AVANZADOS EN COMPUTACIÓN DE MÉXICO, S.A. DE C.V.</w:t>
      </w:r>
      <w:r>
        <w:rPr>
          <w:rFonts w:ascii="Calibri" w:eastAsia="Calibri" w:hAnsi="Calibri" w:cstheme="minorHAnsi"/>
          <w:b/>
          <w:i/>
          <w:noProof/>
          <w:color w:val="0000FF"/>
          <w:lang w:val="es-ES_tradnl"/>
        </w:rPr>
        <w:t xml:space="preserve">, </w:t>
      </w:r>
      <w:r w:rsidRPr="00667E85">
        <w:rPr>
          <w:rFonts w:eastAsia="Calibri" w:cstheme="minorHAnsi"/>
        </w:rPr>
        <w:t xml:space="preserve">no se encontrara en el listado de empresas inhabilitadas que publica la Secretaría de la Función Pública, en su página de Internet, al </w:t>
      </w:r>
      <w:r w:rsidRPr="00984192">
        <w:rPr>
          <w:rFonts w:eastAsia="Calibri" w:cstheme="minorHAnsi"/>
        </w:rPr>
        <w:t>día 20 de abril de 2016; asimismo</w:t>
      </w:r>
      <w:r w:rsidRPr="00667E85">
        <w:rPr>
          <w:rFonts w:eastAsia="Calibri" w:cstheme="minorHAnsi"/>
        </w:rPr>
        <w:t>, la Comisión de Administración no ha formulado declaración de impedimento para contratar a esta empresa</w:t>
      </w:r>
      <w:r w:rsidRPr="00667E85">
        <w:rPr>
          <w:rFonts w:eastAsia="Calibri" w:cstheme="minorHAnsi"/>
          <w:b/>
        </w:rPr>
        <w:t xml:space="preserve"> </w:t>
      </w:r>
      <w:r w:rsidRPr="00667E85">
        <w:rPr>
          <w:rFonts w:eastAsia="Calibri" w:cstheme="minorHAnsi"/>
          <w:b/>
          <w:lang w:val="es-ES_tradnl"/>
        </w:rPr>
        <w:t>(Anexo 12)</w:t>
      </w:r>
      <w:r w:rsidRPr="00667E85">
        <w:rPr>
          <w:rFonts w:eastAsia="Calibri" w:cstheme="minorHAnsi"/>
        </w:rPr>
        <w:t>.</w:t>
      </w:r>
    </w:p>
    <w:p w:rsidR="00670E5E" w:rsidRPr="00A02DA0" w:rsidRDefault="00670E5E" w:rsidP="007C5DB5">
      <w:pPr>
        <w:spacing w:after="0" w:line="240" w:lineRule="auto"/>
        <w:rPr>
          <w:rFonts w:cstheme="minorHAnsi"/>
          <w:b/>
        </w:rPr>
      </w:pPr>
    </w:p>
    <w:tbl>
      <w:tblPr>
        <w:tblStyle w:val="Tablaconcuadrcula"/>
        <w:tblW w:w="0" w:type="auto"/>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984"/>
        <w:gridCol w:w="3002"/>
      </w:tblGrid>
      <w:tr w:rsidR="00670E5E" w:rsidRPr="00FB31D7" w:rsidTr="00F52C35">
        <w:trPr>
          <w:jc w:val="center"/>
        </w:trPr>
        <w:tc>
          <w:tcPr>
            <w:tcW w:w="2954" w:type="dxa"/>
          </w:tcPr>
          <w:p w:rsidR="00670E5E" w:rsidRPr="00FB31D7" w:rsidRDefault="00670E5E" w:rsidP="00F52C35">
            <w:pPr>
              <w:widowControl w:val="0"/>
              <w:jc w:val="center"/>
              <w:rPr>
                <w:rFonts w:cstheme="minorHAnsi"/>
                <w:b/>
              </w:rPr>
            </w:pPr>
            <w:r w:rsidRPr="0012711B">
              <w:rPr>
                <w:rFonts w:cstheme="minorHAnsi"/>
                <w:b/>
              </w:rPr>
              <w:t>Elabora</w:t>
            </w:r>
          </w:p>
        </w:tc>
        <w:tc>
          <w:tcPr>
            <w:tcW w:w="1984" w:type="dxa"/>
          </w:tcPr>
          <w:p w:rsidR="00670E5E" w:rsidRDefault="00670E5E" w:rsidP="00F52C35">
            <w:pPr>
              <w:widowControl w:val="0"/>
              <w:ind w:firstLine="660"/>
              <w:jc w:val="center"/>
              <w:rPr>
                <w:rFonts w:cstheme="minorHAnsi"/>
                <w:b/>
              </w:rPr>
            </w:pPr>
          </w:p>
        </w:tc>
        <w:tc>
          <w:tcPr>
            <w:tcW w:w="3002" w:type="dxa"/>
          </w:tcPr>
          <w:p w:rsidR="00670E5E" w:rsidRPr="00FB31D7" w:rsidRDefault="00670E5E" w:rsidP="00F52C35">
            <w:pPr>
              <w:widowControl w:val="0"/>
              <w:ind w:right="522" w:firstLine="577"/>
              <w:jc w:val="center"/>
              <w:rPr>
                <w:rFonts w:cstheme="minorHAnsi"/>
                <w:b/>
              </w:rPr>
            </w:pPr>
            <w:r w:rsidRPr="0012711B">
              <w:rPr>
                <w:rFonts w:cstheme="minorHAnsi"/>
                <w:b/>
              </w:rPr>
              <w:t>Revisa</w:t>
            </w:r>
          </w:p>
        </w:tc>
      </w:tr>
      <w:tr w:rsidR="00670E5E" w:rsidRPr="00FB31D7" w:rsidTr="00F52C35">
        <w:trPr>
          <w:trHeight w:val="865"/>
          <w:jc w:val="center"/>
        </w:trPr>
        <w:tc>
          <w:tcPr>
            <w:tcW w:w="2954" w:type="dxa"/>
          </w:tcPr>
          <w:p w:rsidR="00670E5E" w:rsidRDefault="00670E5E" w:rsidP="00F52C35">
            <w:pPr>
              <w:widowControl w:val="0"/>
              <w:jc w:val="both"/>
              <w:rPr>
                <w:rFonts w:cstheme="minorHAnsi"/>
              </w:rPr>
            </w:pPr>
          </w:p>
          <w:p w:rsidR="00670E5E" w:rsidRPr="00FB31D7" w:rsidRDefault="00670E5E" w:rsidP="00F52C35">
            <w:pPr>
              <w:widowControl w:val="0"/>
              <w:jc w:val="both"/>
              <w:rPr>
                <w:rFonts w:cstheme="minorHAnsi"/>
              </w:rPr>
            </w:pPr>
          </w:p>
        </w:tc>
        <w:tc>
          <w:tcPr>
            <w:tcW w:w="1984" w:type="dxa"/>
          </w:tcPr>
          <w:p w:rsidR="00670E5E" w:rsidRPr="0012711B" w:rsidRDefault="00670E5E" w:rsidP="00F52C35">
            <w:pPr>
              <w:rPr>
                <w:rFonts w:cstheme="minorHAnsi"/>
                <w:b/>
                <w:i/>
              </w:rPr>
            </w:pPr>
          </w:p>
        </w:tc>
        <w:tc>
          <w:tcPr>
            <w:tcW w:w="3002" w:type="dxa"/>
          </w:tcPr>
          <w:p w:rsidR="00670E5E" w:rsidRPr="0012711B" w:rsidRDefault="00670E5E" w:rsidP="00F52C35">
            <w:pPr>
              <w:rPr>
                <w:rFonts w:cstheme="minorHAnsi"/>
                <w:b/>
                <w:i/>
              </w:rPr>
            </w:pPr>
          </w:p>
          <w:p w:rsidR="00670E5E" w:rsidRPr="0012711B" w:rsidRDefault="00670E5E" w:rsidP="00F52C35">
            <w:pPr>
              <w:rPr>
                <w:rFonts w:cstheme="minorHAnsi"/>
                <w:b/>
                <w:i/>
              </w:rPr>
            </w:pPr>
          </w:p>
        </w:tc>
      </w:tr>
      <w:tr w:rsidR="00670E5E" w:rsidRPr="0012711B" w:rsidTr="00F52C35">
        <w:trPr>
          <w:trHeight w:val="538"/>
          <w:jc w:val="center"/>
        </w:trPr>
        <w:tc>
          <w:tcPr>
            <w:tcW w:w="2954" w:type="dxa"/>
          </w:tcPr>
          <w:p w:rsidR="00670E5E" w:rsidRPr="0012711B" w:rsidRDefault="00670E5E" w:rsidP="00F52C35">
            <w:pPr>
              <w:widowControl w:val="0"/>
              <w:pBdr>
                <w:top w:val="single" w:sz="4" w:space="1" w:color="auto"/>
              </w:pBdr>
              <w:ind w:left="-142" w:right="-113"/>
              <w:jc w:val="center"/>
              <w:rPr>
                <w:rFonts w:cstheme="minorHAnsi"/>
                <w:b/>
              </w:rPr>
            </w:pPr>
            <w:r w:rsidRPr="0012711B">
              <w:rPr>
                <w:rFonts w:cstheme="minorHAnsi"/>
                <w:b/>
              </w:rPr>
              <w:t>Arq. Gudelia Luisa Cruz Meza</w:t>
            </w:r>
          </w:p>
          <w:p w:rsidR="00670E5E" w:rsidRPr="0012711B" w:rsidRDefault="00670E5E" w:rsidP="00F52C35">
            <w:pPr>
              <w:widowControl w:val="0"/>
              <w:ind w:left="-142" w:right="-113"/>
              <w:jc w:val="center"/>
              <w:rPr>
                <w:rFonts w:cstheme="minorHAnsi"/>
              </w:rPr>
            </w:pPr>
            <w:r>
              <w:rPr>
                <w:rFonts w:cstheme="minorHAnsi"/>
              </w:rPr>
              <w:t>Jefe de Departamento</w:t>
            </w:r>
          </w:p>
        </w:tc>
        <w:tc>
          <w:tcPr>
            <w:tcW w:w="1984" w:type="dxa"/>
          </w:tcPr>
          <w:p w:rsidR="00670E5E" w:rsidRPr="0012711B" w:rsidRDefault="00670E5E" w:rsidP="00F52C35">
            <w:pPr>
              <w:ind w:left="-142" w:right="-113"/>
              <w:jc w:val="center"/>
              <w:rPr>
                <w:rFonts w:cstheme="minorHAnsi"/>
              </w:rPr>
            </w:pPr>
          </w:p>
        </w:tc>
        <w:tc>
          <w:tcPr>
            <w:tcW w:w="3002" w:type="dxa"/>
          </w:tcPr>
          <w:p w:rsidR="00670E5E" w:rsidRPr="0012711B" w:rsidRDefault="00670E5E" w:rsidP="00F52C35">
            <w:pPr>
              <w:pBdr>
                <w:top w:val="single" w:sz="4" w:space="1" w:color="auto"/>
              </w:pBdr>
              <w:ind w:left="-142" w:right="-113"/>
              <w:jc w:val="center"/>
              <w:rPr>
                <w:rFonts w:cstheme="minorHAnsi"/>
                <w:b/>
              </w:rPr>
            </w:pPr>
            <w:r w:rsidRPr="0012711B">
              <w:rPr>
                <w:rFonts w:cstheme="minorHAnsi"/>
                <w:b/>
              </w:rPr>
              <w:t>Arq. Rosario Domínguez Borjas</w:t>
            </w:r>
          </w:p>
          <w:p w:rsidR="00670E5E" w:rsidRPr="0012711B" w:rsidRDefault="00670E5E" w:rsidP="00F52C35">
            <w:pPr>
              <w:ind w:left="-142" w:right="-113"/>
              <w:jc w:val="center"/>
              <w:rPr>
                <w:rFonts w:cstheme="minorHAnsi"/>
              </w:rPr>
            </w:pPr>
            <w:r w:rsidRPr="0012711B">
              <w:rPr>
                <w:rFonts w:cstheme="minorHAnsi"/>
              </w:rPr>
              <w:t>S</w:t>
            </w:r>
            <w:r>
              <w:rPr>
                <w:rFonts w:cstheme="minorHAnsi"/>
              </w:rPr>
              <w:t>ubdirectora de Concursos</w:t>
            </w:r>
          </w:p>
        </w:tc>
      </w:tr>
    </w:tbl>
    <w:p w:rsidR="00670E5E" w:rsidRPr="0012711B" w:rsidRDefault="00670E5E" w:rsidP="007C5DB5">
      <w:pPr>
        <w:spacing w:after="0" w:line="240" w:lineRule="auto"/>
        <w:rPr>
          <w:rFonts w:cstheme="minorHAnsi"/>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3599"/>
        <w:gridCol w:w="450"/>
        <w:gridCol w:w="901"/>
        <w:gridCol w:w="450"/>
        <w:gridCol w:w="3604"/>
        <w:gridCol w:w="451"/>
      </w:tblGrid>
      <w:tr w:rsidR="00670E5E" w:rsidRPr="00667E85" w:rsidTr="00667E85">
        <w:tc>
          <w:tcPr>
            <w:tcW w:w="4498" w:type="dxa"/>
            <w:gridSpan w:val="3"/>
          </w:tcPr>
          <w:p w:rsidR="00670E5E" w:rsidRPr="00667E85" w:rsidRDefault="00670E5E" w:rsidP="00667E85">
            <w:pPr>
              <w:widowControl w:val="0"/>
              <w:jc w:val="center"/>
              <w:rPr>
                <w:rFonts w:cstheme="minorHAnsi"/>
                <w:b/>
              </w:rPr>
            </w:pPr>
            <w:r>
              <w:rPr>
                <w:rFonts w:cstheme="minorHAnsi"/>
                <w:b/>
              </w:rPr>
              <w:t>Valida</w:t>
            </w:r>
          </w:p>
        </w:tc>
        <w:tc>
          <w:tcPr>
            <w:tcW w:w="901" w:type="dxa"/>
            <w:shd w:val="clear" w:color="auto" w:fill="FFFFFF" w:themeFill="background1"/>
          </w:tcPr>
          <w:p w:rsidR="00670E5E" w:rsidRPr="00667E85" w:rsidRDefault="00670E5E" w:rsidP="00667E85">
            <w:pPr>
              <w:widowControl w:val="0"/>
              <w:jc w:val="center"/>
              <w:rPr>
                <w:rFonts w:cstheme="minorHAnsi"/>
                <w:b/>
              </w:rPr>
            </w:pPr>
          </w:p>
        </w:tc>
        <w:tc>
          <w:tcPr>
            <w:tcW w:w="4505" w:type="dxa"/>
            <w:gridSpan w:val="3"/>
          </w:tcPr>
          <w:p w:rsidR="00670E5E" w:rsidRPr="00667E85" w:rsidRDefault="00670E5E" w:rsidP="00667E85">
            <w:pPr>
              <w:widowControl w:val="0"/>
              <w:jc w:val="center"/>
              <w:rPr>
                <w:rFonts w:cstheme="minorHAnsi"/>
                <w:b/>
              </w:rPr>
            </w:pPr>
            <w:r w:rsidRPr="00667E85">
              <w:rPr>
                <w:rFonts w:cstheme="minorHAnsi"/>
                <w:b/>
              </w:rPr>
              <w:t>Autoriza</w:t>
            </w:r>
          </w:p>
        </w:tc>
      </w:tr>
      <w:tr w:rsidR="00670E5E" w:rsidRPr="00667E85" w:rsidTr="00667E85">
        <w:trPr>
          <w:trHeight w:val="145"/>
        </w:trPr>
        <w:tc>
          <w:tcPr>
            <w:tcW w:w="449" w:type="dxa"/>
          </w:tcPr>
          <w:p w:rsidR="00670E5E" w:rsidRPr="00667E85" w:rsidRDefault="00670E5E" w:rsidP="00667E85">
            <w:pPr>
              <w:widowControl w:val="0"/>
              <w:jc w:val="both"/>
              <w:rPr>
                <w:rFonts w:cstheme="minorHAnsi"/>
              </w:rPr>
            </w:pPr>
          </w:p>
        </w:tc>
        <w:tc>
          <w:tcPr>
            <w:tcW w:w="3599" w:type="dxa"/>
            <w:tcBorders>
              <w:bottom w:val="single" w:sz="4" w:space="0" w:color="auto"/>
            </w:tcBorders>
          </w:tcPr>
          <w:p w:rsidR="00670E5E" w:rsidRPr="00667E85" w:rsidRDefault="00670E5E" w:rsidP="00667E85">
            <w:pPr>
              <w:widowControl w:val="0"/>
              <w:jc w:val="both"/>
              <w:rPr>
                <w:rFonts w:cstheme="minorHAnsi"/>
              </w:rPr>
            </w:pPr>
          </w:p>
          <w:p w:rsidR="00670E5E" w:rsidRPr="00667E85" w:rsidRDefault="00670E5E" w:rsidP="00667E85">
            <w:pPr>
              <w:widowControl w:val="0"/>
              <w:jc w:val="both"/>
              <w:rPr>
                <w:rFonts w:cstheme="minorHAnsi"/>
              </w:rPr>
            </w:pPr>
          </w:p>
          <w:p w:rsidR="00670E5E" w:rsidRPr="00667E85" w:rsidRDefault="00670E5E" w:rsidP="00667E85">
            <w:pPr>
              <w:widowControl w:val="0"/>
              <w:jc w:val="both"/>
              <w:rPr>
                <w:rFonts w:cstheme="minorHAnsi"/>
              </w:rPr>
            </w:pPr>
          </w:p>
        </w:tc>
        <w:tc>
          <w:tcPr>
            <w:tcW w:w="450" w:type="dxa"/>
          </w:tcPr>
          <w:p w:rsidR="00670E5E" w:rsidRPr="00667E85" w:rsidRDefault="00670E5E" w:rsidP="00667E85">
            <w:pPr>
              <w:widowControl w:val="0"/>
              <w:jc w:val="both"/>
              <w:rPr>
                <w:rFonts w:cstheme="minorHAnsi"/>
              </w:rPr>
            </w:pPr>
          </w:p>
        </w:tc>
        <w:tc>
          <w:tcPr>
            <w:tcW w:w="901" w:type="dxa"/>
            <w:shd w:val="clear" w:color="auto" w:fill="FFFFFF" w:themeFill="background1"/>
          </w:tcPr>
          <w:p w:rsidR="00670E5E" w:rsidRPr="00667E85" w:rsidRDefault="00670E5E" w:rsidP="00667E85">
            <w:pPr>
              <w:widowControl w:val="0"/>
              <w:jc w:val="both"/>
              <w:rPr>
                <w:rFonts w:cstheme="minorHAnsi"/>
              </w:rPr>
            </w:pPr>
          </w:p>
        </w:tc>
        <w:tc>
          <w:tcPr>
            <w:tcW w:w="450" w:type="dxa"/>
          </w:tcPr>
          <w:p w:rsidR="00670E5E" w:rsidRPr="00667E85" w:rsidRDefault="00670E5E" w:rsidP="00667E85">
            <w:pPr>
              <w:widowControl w:val="0"/>
              <w:jc w:val="both"/>
              <w:rPr>
                <w:rFonts w:cstheme="minorHAnsi"/>
              </w:rPr>
            </w:pPr>
          </w:p>
        </w:tc>
        <w:tc>
          <w:tcPr>
            <w:tcW w:w="3604" w:type="dxa"/>
            <w:tcBorders>
              <w:bottom w:val="single" w:sz="4" w:space="0" w:color="auto"/>
            </w:tcBorders>
          </w:tcPr>
          <w:p w:rsidR="00670E5E" w:rsidRPr="00667E85" w:rsidRDefault="00670E5E" w:rsidP="00667E85">
            <w:pPr>
              <w:widowControl w:val="0"/>
              <w:jc w:val="both"/>
              <w:rPr>
                <w:rFonts w:cstheme="minorHAnsi"/>
              </w:rPr>
            </w:pPr>
          </w:p>
        </w:tc>
        <w:tc>
          <w:tcPr>
            <w:tcW w:w="451" w:type="dxa"/>
          </w:tcPr>
          <w:p w:rsidR="00670E5E" w:rsidRPr="00667E85" w:rsidRDefault="00670E5E" w:rsidP="00667E85">
            <w:pPr>
              <w:widowControl w:val="0"/>
              <w:jc w:val="both"/>
              <w:rPr>
                <w:rFonts w:cstheme="minorHAnsi"/>
              </w:rPr>
            </w:pPr>
          </w:p>
        </w:tc>
      </w:tr>
      <w:tr w:rsidR="00670E5E" w:rsidRPr="00667E85" w:rsidTr="00667E85">
        <w:trPr>
          <w:trHeight w:val="1327"/>
        </w:trPr>
        <w:tc>
          <w:tcPr>
            <w:tcW w:w="4498" w:type="dxa"/>
            <w:gridSpan w:val="3"/>
          </w:tcPr>
          <w:p w:rsidR="00670E5E" w:rsidRPr="00667E85" w:rsidRDefault="00670E5E" w:rsidP="00667E85">
            <w:pPr>
              <w:widowControl w:val="0"/>
              <w:ind w:left="-142" w:right="-113"/>
              <w:jc w:val="center"/>
              <w:rPr>
                <w:rFonts w:cstheme="minorHAnsi"/>
                <w:b/>
              </w:rPr>
            </w:pPr>
            <w:r w:rsidRPr="00667E85">
              <w:rPr>
                <w:b/>
                <w:bCs/>
                <w:color w:val="000000"/>
              </w:rPr>
              <w:t>Lic. José Alejandro Mc Naught Salguero</w:t>
            </w:r>
          </w:p>
          <w:p w:rsidR="00670E5E" w:rsidRPr="00667E85" w:rsidRDefault="00670E5E" w:rsidP="00667E85">
            <w:pPr>
              <w:widowControl w:val="0"/>
              <w:ind w:left="-142" w:right="-113"/>
              <w:jc w:val="center"/>
              <w:rPr>
                <w:rFonts w:cstheme="minorHAnsi"/>
              </w:rPr>
            </w:pPr>
            <w:r w:rsidRPr="00667E85">
              <w:rPr>
                <w:rFonts w:cstheme="minorHAnsi"/>
              </w:rPr>
              <w:t>Director de Presupuestos y Concursos</w:t>
            </w:r>
          </w:p>
          <w:p w:rsidR="00670E5E" w:rsidRPr="00667E85" w:rsidRDefault="00670E5E" w:rsidP="00667E85">
            <w:pPr>
              <w:widowControl w:val="0"/>
              <w:jc w:val="both"/>
              <w:rPr>
                <w:rFonts w:cstheme="minorHAnsi"/>
              </w:rPr>
            </w:pPr>
            <w:r w:rsidRPr="00667E85">
              <w:rPr>
                <w:rFonts w:cstheme="minorHAnsi"/>
                <w:sz w:val="16"/>
              </w:rPr>
              <w:t xml:space="preserve">Manifiesto mi responsabilidad en la integración de la información que contiene el presente documento. Asimismo, valido que no </w:t>
            </w:r>
            <w:proofErr w:type="gramStart"/>
            <w:r w:rsidRPr="00667E85">
              <w:rPr>
                <w:rFonts w:cstheme="minorHAnsi"/>
                <w:sz w:val="16"/>
              </w:rPr>
              <w:t>existe</w:t>
            </w:r>
            <w:proofErr w:type="gramEnd"/>
            <w:r w:rsidRPr="00667E85">
              <w:rPr>
                <w:rFonts w:cstheme="minorHAnsi"/>
                <w:sz w:val="16"/>
              </w:rPr>
              <w:t xml:space="preserve"> ninguna otra información respecto al presente asunto que pueda influir en esta autorización. </w:t>
            </w:r>
          </w:p>
        </w:tc>
        <w:tc>
          <w:tcPr>
            <w:tcW w:w="901" w:type="dxa"/>
            <w:shd w:val="clear" w:color="auto" w:fill="FFFFFF" w:themeFill="background1"/>
          </w:tcPr>
          <w:p w:rsidR="00670E5E" w:rsidRPr="00667E85" w:rsidRDefault="00670E5E" w:rsidP="00667E85">
            <w:pPr>
              <w:widowControl w:val="0"/>
              <w:jc w:val="both"/>
              <w:rPr>
                <w:rFonts w:cstheme="minorHAnsi"/>
              </w:rPr>
            </w:pPr>
          </w:p>
        </w:tc>
        <w:tc>
          <w:tcPr>
            <w:tcW w:w="4505" w:type="dxa"/>
            <w:gridSpan w:val="3"/>
          </w:tcPr>
          <w:p w:rsidR="00670E5E" w:rsidRPr="00667E85" w:rsidRDefault="00670E5E" w:rsidP="00667E85">
            <w:pPr>
              <w:ind w:left="-154" w:right="-93"/>
              <w:jc w:val="center"/>
              <w:rPr>
                <w:rFonts w:cstheme="minorHAnsi"/>
                <w:b/>
              </w:rPr>
            </w:pPr>
            <w:r w:rsidRPr="00667E85">
              <w:rPr>
                <w:rFonts w:cstheme="minorHAnsi"/>
                <w:b/>
              </w:rPr>
              <w:t xml:space="preserve">Ing. Francisco Javier Pérez </w:t>
            </w:r>
            <w:proofErr w:type="spellStart"/>
            <w:r w:rsidRPr="00667E85">
              <w:rPr>
                <w:rFonts w:cstheme="minorHAnsi"/>
                <w:b/>
              </w:rPr>
              <w:t>Maqueda</w:t>
            </w:r>
            <w:proofErr w:type="spellEnd"/>
          </w:p>
          <w:p w:rsidR="00670E5E" w:rsidRPr="00667E85" w:rsidRDefault="00670E5E" w:rsidP="00667E85">
            <w:pPr>
              <w:widowControl w:val="0"/>
              <w:ind w:left="-154" w:right="-93"/>
              <w:jc w:val="center"/>
              <w:rPr>
                <w:rFonts w:cstheme="minorHAnsi"/>
              </w:rPr>
            </w:pPr>
            <w:r w:rsidRPr="00667E85">
              <w:rPr>
                <w:rFonts w:cstheme="minorHAnsi"/>
              </w:rPr>
              <w:t>Director General de Inmuebles y Mantenimiento</w:t>
            </w:r>
          </w:p>
          <w:p w:rsidR="00670E5E" w:rsidRPr="00667E85" w:rsidRDefault="00670E5E" w:rsidP="00667E85">
            <w:pPr>
              <w:jc w:val="both"/>
              <w:rPr>
                <w:rFonts w:cstheme="minorHAnsi"/>
                <w:sz w:val="16"/>
              </w:rPr>
            </w:pPr>
            <w:r w:rsidRPr="00667E85">
              <w:rPr>
                <w:rFonts w:cstheme="minorHAnsi"/>
                <w:sz w:val="16"/>
              </w:rPr>
              <w:t>Manifiesto que la tramitación,  el resultado y, en su momento, la adjudicación del presente procedimiento, se apegan a las disposiciones que lo rigen y, que durante su desarrollo se verificó el cumplimiento de los requisitos previstos en el artículo 134 de la Constitución Política de los Estados Unidos Mexicanos.</w:t>
            </w:r>
          </w:p>
        </w:tc>
      </w:tr>
    </w:tbl>
    <w:p w:rsidR="00670E5E" w:rsidRPr="00054683" w:rsidRDefault="00670E5E" w:rsidP="00667E85">
      <w:pPr>
        <w:widowControl w:val="0"/>
        <w:spacing w:after="0" w:line="240" w:lineRule="auto"/>
        <w:jc w:val="both"/>
        <w:rPr>
          <w:rFonts w:cstheme="minorHAnsi"/>
        </w:rPr>
      </w:pPr>
    </w:p>
    <w:p w:rsidR="00670E5E" w:rsidRPr="00667E85" w:rsidRDefault="00670E5E" w:rsidP="00667E85">
      <w:pPr>
        <w:widowControl w:val="0"/>
        <w:spacing w:after="0" w:line="240" w:lineRule="auto"/>
        <w:jc w:val="both"/>
        <w:rPr>
          <w:rFonts w:cstheme="minorHAnsi"/>
          <w:lang w:val="es-ES_tradnl"/>
        </w:rPr>
      </w:pPr>
      <w:r w:rsidRPr="00667E85">
        <w:rPr>
          <w:rFonts w:cstheme="minorHAnsi"/>
        </w:rPr>
        <w:t xml:space="preserve">Se tiene por presentado el dictamen de adjudicación número </w:t>
      </w:r>
      <w:r w:rsidRPr="00710CC2">
        <w:rPr>
          <w:rFonts w:cstheme="minorHAnsi"/>
          <w:noProof/>
          <w:color w:val="0000FF"/>
        </w:rPr>
        <w:t>SEA/DGIM/017/2016</w:t>
      </w:r>
      <w:r>
        <w:rPr>
          <w:rFonts w:cstheme="minorHAnsi"/>
          <w:noProof/>
          <w:color w:val="0000FF"/>
        </w:rPr>
        <w:t xml:space="preserve"> </w:t>
      </w:r>
      <w:r w:rsidRPr="00667E85">
        <w:rPr>
          <w:rFonts w:cstheme="minorHAnsi"/>
        </w:rPr>
        <w:t>y, derivado de la valoración formal efectuada por esta Secretaría Ejecutiva de conformidad con lo dispuesto en el artículo 338 último párrafo</w:t>
      </w:r>
      <w:r>
        <w:rPr>
          <w:rFonts w:cstheme="minorHAnsi"/>
        </w:rPr>
        <w:t>,</w:t>
      </w:r>
      <w:r w:rsidRPr="00667E85">
        <w:rPr>
          <w:rFonts w:cstheme="minorHAnsi"/>
        </w:rPr>
        <w:t xml:space="preserve"> del Acuerdo General del Pleno del Consejo de la Judicatura Federal, que establece las disposiciones en materia de actividad administrativa del propio Consejo</w:t>
      </w:r>
      <w:r w:rsidRPr="00667E85">
        <w:rPr>
          <w:rFonts w:cstheme="minorHAnsi"/>
          <w:lang w:val="es-ES_tradnl"/>
        </w:rPr>
        <w:t>, la Dirección General de Inmuebles y Mantenimiento emitirá el fallo correspondiente.</w:t>
      </w:r>
    </w:p>
    <w:p w:rsidR="00670E5E" w:rsidRPr="00667E85" w:rsidRDefault="00670E5E" w:rsidP="00667E85">
      <w:pPr>
        <w:widowControl w:val="0"/>
        <w:spacing w:after="0" w:line="240" w:lineRule="auto"/>
        <w:jc w:val="both"/>
        <w:rPr>
          <w:rFonts w:cstheme="minorHAnsi"/>
          <w:sz w:val="24"/>
        </w:rPr>
      </w:pPr>
    </w:p>
    <w:tbl>
      <w:tblPr>
        <w:tblStyle w:val="Tablaconcuadrcula3"/>
        <w:tblpPr w:leftFromText="141" w:rightFromText="141" w:vertAnchor="text" w:tblpY="1"/>
        <w:tblOverlap w:val="never"/>
        <w:tblW w:w="0" w:type="auto"/>
        <w:tblInd w:w="2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3599"/>
        <w:gridCol w:w="450"/>
      </w:tblGrid>
      <w:tr w:rsidR="00670E5E" w:rsidRPr="00667E85" w:rsidTr="00667E85">
        <w:tc>
          <w:tcPr>
            <w:tcW w:w="4498" w:type="dxa"/>
            <w:gridSpan w:val="3"/>
          </w:tcPr>
          <w:p w:rsidR="00670E5E" w:rsidRPr="00667E85" w:rsidRDefault="00670E5E" w:rsidP="00667E85">
            <w:pPr>
              <w:widowControl w:val="0"/>
              <w:jc w:val="center"/>
              <w:rPr>
                <w:rFonts w:cstheme="minorHAnsi"/>
                <w:b/>
              </w:rPr>
            </w:pPr>
          </w:p>
        </w:tc>
      </w:tr>
      <w:tr w:rsidR="00670E5E" w:rsidRPr="00667E85" w:rsidTr="00667E85">
        <w:trPr>
          <w:trHeight w:val="145"/>
        </w:trPr>
        <w:tc>
          <w:tcPr>
            <w:tcW w:w="449" w:type="dxa"/>
          </w:tcPr>
          <w:p w:rsidR="00670E5E" w:rsidRPr="00667E85" w:rsidRDefault="00670E5E" w:rsidP="00667E85">
            <w:pPr>
              <w:widowControl w:val="0"/>
              <w:jc w:val="center"/>
              <w:rPr>
                <w:rFonts w:cstheme="minorHAnsi"/>
              </w:rPr>
            </w:pPr>
          </w:p>
        </w:tc>
        <w:tc>
          <w:tcPr>
            <w:tcW w:w="3599" w:type="dxa"/>
            <w:tcBorders>
              <w:bottom w:val="single" w:sz="4" w:space="0" w:color="auto"/>
            </w:tcBorders>
          </w:tcPr>
          <w:p w:rsidR="00670E5E" w:rsidRPr="00667E85" w:rsidRDefault="00670E5E" w:rsidP="00667E85">
            <w:pPr>
              <w:widowControl w:val="0"/>
              <w:jc w:val="center"/>
              <w:rPr>
                <w:rFonts w:cstheme="minorHAnsi"/>
              </w:rPr>
            </w:pPr>
          </w:p>
          <w:p w:rsidR="00670E5E" w:rsidRPr="00667E85" w:rsidRDefault="00670E5E" w:rsidP="00667E85">
            <w:pPr>
              <w:widowControl w:val="0"/>
              <w:jc w:val="center"/>
              <w:rPr>
                <w:rFonts w:cstheme="minorHAnsi"/>
              </w:rPr>
            </w:pPr>
          </w:p>
          <w:p w:rsidR="00670E5E" w:rsidRPr="00667E85" w:rsidRDefault="00670E5E" w:rsidP="00667E85">
            <w:pPr>
              <w:widowControl w:val="0"/>
              <w:jc w:val="center"/>
              <w:rPr>
                <w:rFonts w:cstheme="minorHAnsi"/>
              </w:rPr>
            </w:pPr>
          </w:p>
        </w:tc>
        <w:tc>
          <w:tcPr>
            <w:tcW w:w="450" w:type="dxa"/>
          </w:tcPr>
          <w:p w:rsidR="00670E5E" w:rsidRPr="00667E85" w:rsidRDefault="00670E5E" w:rsidP="00667E85">
            <w:pPr>
              <w:widowControl w:val="0"/>
              <w:jc w:val="center"/>
              <w:rPr>
                <w:rFonts w:cstheme="minorHAnsi"/>
              </w:rPr>
            </w:pPr>
          </w:p>
        </w:tc>
      </w:tr>
      <w:tr w:rsidR="00670E5E" w:rsidRPr="00667E85" w:rsidTr="00667E85">
        <w:trPr>
          <w:trHeight w:val="538"/>
        </w:trPr>
        <w:tc>
          <w:tcPr>
            <w:tcW w:w="4498" w:type="dxa"/>
            <w:gridSpan w:val="3"/>
          </w:tcPr>
          <w:p w:rsidR="00670E5E" w:rsidRPr="00667E85" w:rsidRDefault="00670E5E" w:rsidP="00667E85">
            <w:pPr>
              <w:ind w:left="-142" w:right="-113"/>
              <w:jc w:val="center"/>
              <w:rPr>
                <w:rFonts w:cstheme="minorHAnsi"/>
                <w:b/>
              </w:rPr>
            </w:pPr>
            <w:r w:rsidRPr="00667E85">
              <w:rPr>
                <w:rFonts w:cstheme="minorHAnsi"/>
                <w:b/>
              </w:rPr>
              <w:t>Maestra Rosa María Vizconde Ortuño</w:t>
            </w:r>
          </w:p>
          <w:p w:rsidR="00670E5E" w:rsidRPr="00667E85" w:rsidRDefault="00670E5E" w:rsidP="00667E85">
            <w:pPr>
              <w:widowControl w:val="0"/>
              <w:ind w:left="-142" w:right="-113"/>
              <w:jc w:val="center"/>
              <w:rPr>
                <w:rFonts w:cstheme="minorHAnsi"/>
              </w:rPr>
            </w:pPr>
            <w:r w:rsidRPr="00667E85">
              <w:rPr>
                <w:rFonts w:cstheme="minorHAnsi"/>
              </w:rPr>
              <w:t>Secretaria Ejecutiva de Administración</w:t>
            </w:r>
          </w:p>
          <w:p w:rsidR="00670E5E" w:rsidRPr="00667E85" w:rsidRDefault="00670E5E" w:rsidP="00667E85">
            <w:pPr>
              <w:widowControl w:val="0"/>
              <w:ind w:left="-142" w:right="-113"/>
              <w:jc w:val="center"/>
              <w:rPr>
                <w:rFonts w:cstheme="minorHAnsi"/>
                <w:sz w:val="2"/>
              </w:rPr>
            </w:pPr>
          </w:p>
        </w:tc>
      </w:tr>
    </w:tbl>
    <w:p w:rsidR="00545499" w:rsidRDefault="00545499" w:rsidP="00B12DE8">
      <w:pPr>
        <w:spacing w:after="0" w:line="240" w:lineRule="auto"/>
        <w:rPr>
          <w:rFonts w:cstheme="minorHAnsi"/>
          <w:sz w:val="20"/>
        </w:rPr>
      </w:pPr>
    </w:p>
    <w:p w:rsidR="00545499" w:rsidRPr="00545499" w:rsidRDefault="00545499" w:rsidP="00545499">
      <w:pPr>
        <w:rPr>
          <w:rFonts w:cstheme="minorHAnsi"/>
          <w:sz w:val="20"/>
        </w:rPr>
      </w:pPr>
    </w:p>
    <w:p w:rsidR="00545499" w:rsidRPr="00545499" w:rsidRDefault="00545499" w:rsidP="00545499">
      <w:pPr>
        <w:rPr>
          <w:rFonts w:cstheme="minorHAnsi"/>
          <w:sz w:val="20"/>
        </w:rPr>
      </w:pPr>
    </w:p>
    <w:p w:rsidR="00545499" w:rsidRDefault="00545499" w:rsidP="00B12DE8">
      <w:pPr>
        <w:spacing w:after="0" w:line="240" w:lineRule="auto"/>
        <w:rPr>
          <w:rFonts w:cstheme="minorHAnsi"/>
          <w:sz w:val="20"/>
        </w:rPr>
      </w:pPr>
    </w:p>
    <w:p w:rsidR="00545499" w:rsidRDefault="00545499" w:rsidP="00B12DE8">
      <w:pPr>
        <w:spacing w:after="0" w:line="240" w:lineRule="auto"/>
        <w:rPr>
          <w:rFonts w:cstheme="minorHAnsi"/>
          <w:sz w:val="20"/>
        </w:rPr>
      </w:pPr>
    </w:p>
    <w:p w:rsidR="00545499" w:rsidRDefault="00545499" w:rsidP="00B12DE8">
      <w:pPr>
        <w:spacing w:after="0" w:line="240" w:lineRule="auto"/>
        <w:rPr>
          <w:rFonts w:cstheme="minorHAnsi"/>
          <w:sz w:val="20"/>
        </w:rPr>
      </w:pPr>
    </w:p>
    <w:p w:rsidR="00670E5E" w:rsidRPr="00545499" w:rsidRDefault="00545499" w:rsidP="00545499">
      <w:pPr>
        <w:pStyle w:val="Encabezado"/>
        <w:tabs>
          <w:tab w:val="clear" w:pos="4419"/>
          <w:tab w:val="clear" w:pos="8838"/>
        </w:tabs>
        <w:ind w:left="-426" w:right="-143"/>
        <w:jc w:val="both"/>
        <w:rPr>
          <w:rFonts w:cstheme="minorHAnsi"/>
          <w:sz w:val="20"/>
        </w:rPr>
      </w:pPr>
      <w:r w:rsidRPr="00EC2837">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bookmarkStart w:id="0" w:name="_GoBack"/>
      <w:bookmarkEnd w:id="0"/>
    </w:p>
    <w:sectPr w:rsidR="00670E5E" w:rsidRPr="00545499" w:rsidSect="00670E5E">
      <w:headerReference w:type="default" r:id="rId9"/>
      <w:footerReference w:type="default" r:id="rId10"/>
      <w:headerReference w:type="first" r:id="rId11"/>
      <w:footerReference w:type="first" r:id="rId12"/>
      <w:type w:val="continuous"/>
      <w:pgSz w:w="12240" w:h="15840"/>
      <w:pgMar w:top="1418" w:right="1134" w:bottom="851"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14" w:rsidRDefault="00611A14" w:rsidP="00A82943">
      <w:pPr>
        <w:spacing w:after="0" w:line="240" w:lineRule="auto"/>
      </w:pPr>
      <w:r>
        <w:separator/>
      </w:r>
    </w:p>
  </w:endnote>
  <w:endnote w:type="continuationSeparator" w:id="0">
    <w:p w:rsidR="00611A14" w:rsidRDefault="00611A14" w:rsidP="00A8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27003"/>
      <w:docPartObj>
        <w:docPartGallery w:val="Page Numbers (Bottom of Page)"/>
        <w:docPartUnique/>
      </w:docPartObj>
    </w:sdtPr>
    <w:sdtEndPr/>
    <w:sdtContent>
      <w:sdt>
        <w:sdtPr>
          <w:id w:val="-1669238322"/>
          <w:docPartObj>
            <w:docPartGallery w:val="Page Numbers (Top of Page)"/>
            <w:docPartUnique/>
          </w:docPartObj>
        </w:sdtPr>
        <w:sdtEndPr/>
        <w:sdtContent>
          <w:p w:rsidR="00BE4BFF" w:rsidRPr="006879DA" w:rsidRDefault="00BE4BFF" w:rsidP="0050433E">
            <w:pPr>
              <w:spacing w:after="0"/>
              <w:jc w:val="center"/>
              <w:rPr>
                <w:sz w:val="24"/>
              </w:rPr>
            </w:pPr>
          </w:p>
          <w:tbl>
            <w:tblPr>
              <w:tblW w:w="5000" w:type="pct"/>
              <w:tblBorders>
                <w:top w:val="dotted" w:sz="4" w:space="0" w:color="auto"/>
                <w:insideH w:val="single" w:sz="4" w:space="0" w:color="auto"/>
                <w:insideV w:val="single" w:sz="4" w:space="0" w:color="auto"/>
              </w:tblBorders>
              <w:tblLook w:val="04A0" w:firstRow="1" w:lastRow="0" w:firstColumn="1" w:lastColumn="0" w:noHBand="0" w:noVBand="1"/>
            </w:tblPr>
            <w:tblGrid>
              <w:gridCol w:w="1027"/>
              <w:gridCol w:w="8877"/>
            </w:tblGrid>
            <w:tr w:rsidR="00BE4BFF" w:rsidTr="00B1122D">
              <w:tc>
                <w:tcPr>
                  <w:tcW w:w="939" w:type="dxa"/>
                  <w:tcBorders>
                    <w:top w:val="dotted" w:sz="4" w:space="0" w:color="auto"/>
                    <w:bottom w:val="nil"/>
                    <w:right w:val="dotted" w:sz="4" w:space="0" w:color="auto"/>
                  </w:tcBorders>
                </w:tcPr>
                <w:p w:rsidR="00BE4BFF" w:rsidRPr="00C96150" w:rsidRDefault="00BE4BFF" w:rsidP="00B1122D">
                  <w:pPr>
                    <w:pStyle w:val="Piedepgina"/>
                    <w:jc w:val="right"/>
                    <w:rPr>
                      <w:b/>
                      <w:bCs/>
                      <w:sz w:val="18"/>
                      <w:szCs w:val="18"/>
                      <w14:numForm w14:val="oldStyle"/>
                    </w:rPr>
                  </w:pPr>
                  <w:r w:rsidRPr="00C96150">
                    <w:rPr>
                      <w:b/>
                      <w:sz w:val="18"/>
                      <w:szCs w:val="18"/>
                      <w14:shadow w14:blurRad="50800" w14:dist="38100" w14:dir="2700000" w14:sx="100000" w14:sy="100000" w14:kx="0" w14:ky="0" w14:algn="tl">
                        <w14:srgbClr w14:val="000000">
                          <w14:alpha w14:val="60000"/>
                        </w14:srgbClr>
                      </w14:shadow>
                      <w14:numForm w14:val="oldStyle"/>
                    </w:rPr>
                    <w:fldChar w:fldCharType="begin"/>
                  </w:r>
                  <w:r w:rsidRPr="00C96150">
                    <w:rPr>
                      <w:b/>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C96150">
                    <w:rPr>
                      <w:b/>
                      <w:sz w:val="18"/>
                      <w:szCs w:val="18"/>
                      <w14:shadow w14:blurRad="50800" w14:dist="38100" w14:dir="2700000" w14:sx="100000" w14:sy="100000" w14:kx="0" w14:ky="0" w14:algn="tl">
                        <w14:srgbClr w14:val="000000">
                          <w14:alpha w14:val="60000"/>
                        </w14:srgbClr>
                      </w14:shadow>
                      <w14:numForm w14:val="oldStyle"/>
                    </w:rPr>
                    <w:fldChar w:fldCharType="separate"/>
                  </w:r>
                  <w:r w:rsidR="00545499">
                    <w:rPr>
                      <w:b/>
                      <w:noProof/>
                      <w:sz w:val="18"/>
                      <w:szCs w:val="18"/>
                      <w14:shadow w14:blurRad="50800" w14:dist="38100" w14:dir="2700000" w14:sx="100000" w14:sy="100000" w14:kx="0" w14:ky="0" w14:algn="tl">
                        <w14:srgbClr w14:val="000000">
                          <w14:alpha w14:val="60000"/>
                        </w14:srgbClr>
                      </w14:shadow>
                      <w14:numForm w14:val="oldStyle"/>
                    </w:rPr>
                    <w:t>2</w:t>
                  </w:r>
                  <w:r w:rsidRPr="00C96150">
                    <w:rPr>
                      <w:b/>
                      <w:sz w:val="18"/>
                      <w:szCs w:val="18"/>
                      <w14:shadow w14:blurRad="50800" w14:dist="38100" w14:dir="2700000" w14:sx="100000" w14:sy="100000" w14:kx="0" w14:ky="0" w14:algn="tl">
                        <w14:srgbClr w14:val="000000">
                          <w14:alpha w14:val="60000"/>
                        </w14:srgbClr>
                      </w14:shadow>
                      <w14:numForm w14:val="oldStyle"/>
                    </w:rPr>
                    <w:fldChar w:fldCharType="end"/>
                  </w:r>
                </w:p>
              </w:tc>
              <w:tc>
                <w:tcPr>
                  <w:tcW w:w="8115" w:type="dxa"/>
                  <w:tcBorders>
                    <w:left w:val="dotted" w:sz="4" w:space="0" w:color="auto"/>
                  </w:tcBorders>
                </w:tcPr>
                <w:p w:rsidR="00BE4BFF" w:rsidRPr="00383225" w:rsidRDefault="00BE4BFF" w:rsidP="005708D6">
                  <w:pPr>
                    <w:pStyle w:val="Piedepgina"/>
                    <w:tabs>
                      <w:tab w:val="left" w:pos="5497"/>
                    </w:tabs>
                    <w:jc w:val="both"/>
                    <w:rPr>
                      <w:sz w:val="14"/>
                      <w:szCs w:val="14"/>
                    </w:rPr>
                  </w:pPr>
                  <w:r w:rsidRPr="00EA1D0C">
                    <w:rPr>
                      <w:color w:val="808080" w:themeColor="background1" w:themeShade="80"/>
                      <w:sz w:val="14"/>
                      <w:szCs w:val="14"/>
                    </w:rPr>
                    <w:t>Esta hoja forma parte del Dictamen de Adjudicación</w:t>
                  </w:r>
                  <w:r>
                    <w:rPr>
                      <w:color w:val="808080" w:themeColor="background1" w:themeShade="80"/>
                      <w:sz w:val="14"/>
                      <w:szCs w:val="14"/>
                    </w:rPr>
                    <w:t xml:space="preserve"> No. </w:t>
                  </w:r>
                  <w:r w:rsidR="00433E15" w:rsidRPr="00710CC2">
                    <w:rPr>
                      <w:noProof/>
                      <w:color w:val="0000FF"/>
                      <w:sz w:val="14"/>
                      <w:szCs w:val="14"/>
                    </w:rPr>
                    <w:t>SEA/DGIM/017/2016</w:t>
                  </w:r>
                  <w:r w:rsidRPr="00EA1D0C">
                    <w:rPr>
                      <w:color w:val="808080" w:themeColor="background1" w:themeShade="80"/>
                      <w:sz w:val="14"/>
                      <w:szCs w:val="14"/>
                    </w:rPr>
                    <w:t>, referente al procedimiento de</w:t>
                  </w:r>
                  <w:r w:rsidRPr="00383225">
                    <w:rPr>
                      <w:color w:val="A6A6A6" w:themeColor="background1" w:themeShade="A6"/>
                      <w:sz w:val="14"/>
                      <w:szCs w:val="14"/>
                    </w:rPr>
                    <w:t xml:space="preserve"> </w:t>
                  </w:r>
                  <w:r>
                    <w:rPr>
                      <w:color w:val="A6A6A6" w:themeColor="background1" w:themeShade="A6"/>
                      <w:sz w:val="14"/>
                      <w:szCs w:val="14"/>
                    </w:rPr>
                    <w:t xml:space="preserve"> </w:t>
                  </w:r>
                  <w:r w:rsidRPr="00F047B4">
                    <w:rPr>
                      <w:noProof/>
                      <w:color w:val="0000FF"/>
                      <w:sz w:val="14"/>
                      <w:szCs w:val="14"/>
                    </w:rPr>
                    <w:t>INVITACIÓN A CUANDO MENOS TRES CONTRATISTAS</w:t>
                  </w:r>
                  <w:r>
                    <w:rPr>
                      <w:color w:val="808080" w:themeColor="background1" w:themeShade="80"/>
                      <w:sz w:val="14"/>
                      <w:szCs w:val="14"/>
                    </w:rPr>
                    <w:t xml:space="preserve">  No</w:t>
                  </w:r>
                  <w:r w:rsidRPr="001474AC">
                    <w:rPr>
                      <w:color w:val="0000FF"/>
                      <w:sz w:val="14"/>
                      <w:szCs w:val="14"/>
                    </w:rPr>
                    <w:t xml:space="preserve">. </w:t>
                  </w:r>
                  <w:r w:rsidR="00433E15" w:rsidRPr="00710CC2">
                    <w:rPr>
                      <w:noProof/>
                      <w:color w:val="0000FF"/>
                      <w:sz w:val="14"/>
                      <w:szCs w:val="14"/>
                    </w:rPr>
                    <w:t>CJF-07/ITC/PMECM/2016</w:t>
                  </w:r>
                </w:p>
              </w:tc>
            </w:tr>
          </w:tbl>
          <w:p w:rsidR="00BE4BFF" w:rsidRPr="006879DA" w:rsidRDefault="00BE4BFF" w:rsidP="0050433E">
            <w:pPr>
              <w:spacing w:after="0"/>
              <w:jc w:val="center"/>
              <w:rPr>
                <w:sz w:val="8"/>
              </w:rPr>
            </w:pPr>
          </w:p>
          <w:p w:rsidR="00BE4BFF" w:rsidRDefault="00545499" w:rsidP="0050433E">
            <w:pPr>
              <w:spacing w:after="0"/>
              <w:jc w:val="center"/>
            </w:pPr>
          </w:p>
        </w:sdtContent>
      </w:sdt>
    </w:sdtContent>
  </w:sdt>
  <w:p w:rsidR="00BE4BFF" w:rsidRPr="00E33406" w:rsidRDefault="00BE4BFF">
    <w:pPr>
      <w:pStyle w:val="Piedepgina"/>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FF" w:rsidRDefault="00BE4BFF">
    <w:pPr>
      <w:pStyle w:val="Piedepgina"/>
    </w:pPr>
  </w:p>
  <w:p w:rsidR="00BE4BFF" w:rsidRDefault="00BE4B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14" w:rsidRDefault="00611A14" w:rsidP="00A82943">
      <w:pPr>
        <w:spacing w:after="0" w:line="240" w:lineRule="auto"/>
      </w:pPr>
      <w:r>
        <w:separator/>
      </w:r>
    </w:p>
  </w:footnote>
  <w:footnote w:type="continuationSeparator" w:id="0">
    <w:p w:rsidR="00611A14" w:rsidRDefault="00611A14" w:rsidP="00A8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5897"/>
      <w:gridCol w:w="1966"/>
    </w:tblGrid>
    <w:tr w:rsidR="00BE4BFF" w:rsidTr="00A92D3D">
      <w:trPr>
        <w:trHeight w:val="1131"/>
      </w:trPr>
      <w:tc>
        <w:tcPr>
          <w:tcW w:w="1965" w:type="dxa"/>
          <w:tcBorders>
            <w:bottom w:val="single" w:sz="4" w:space="0" w:color="A6A6A6" w:themeColor="background1" w:themeShade="A6"/>
          </w:tcBorders>
        </w:tcPr>
        <w:p w:rsidR="00BE4BFF" w:rsidRDefault="00BE4BFF" w:rsidP="00625B50">
          <w:pPr>
            <w:pStyle w:val="Sinespaciado"/>
          </w:pPr>
          <w:r>
            <w:rPr>
              <w:noProof/>
              <w:lang w:eastAsia="es-MX"/>
            </w:rPr>
            <w:drawing>
              <wp:inline distT="0" distB="0" distL="0" distR="0" wp14:anchorId="18CDDDDB" wp14:editId="2CC4E3FD">
                <wp:extent cx="972287" cy="9780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028" cy="975738"/>
                        </a:xfrm>
                        <a:prstGeom prst="rect">
                          <a:avLst/>
                        </a:prstGeom>
                        <a:noFill/>
                      </pic:spPr>
                    </pic:pic>
                  </a:graphicData>
                </a:graphic>
              </wp:inline>
            </w:drawing>
          </w:r>
        </w:p>
      </w:tc>
      <w:tc>
        <w:tcPr>
          <w:tcW w:w="5897" w:type="dxa"/>
          <w:tcBorders>
            <w:bottom w:val="single" w:sz="4" w:space="0" w:color="A6A6A6" w:themeColor="background1" w:themeShade="A6"/>
          </w:tcBorders>
          <w:vAlign w:val="bottom"/>
        </w:tcPr>
        <w:p w:rsidR="00BE4BFF" w:rsidRPr="009F5533" w:rsidRDefault="00BE4BFF" w:rsidP="009F5533">
          <w:pPr>
            <w:pStyle w:val="Sinespaciado"/>
            <w:rPr>
              <w:b/>
              <w:color w:val="404040" w:themeColor="text1" w:themeTint="BF"/>
              <w:sz w:val="20"/>
            </w:rPr>
          </w:pPr>
          <w:r w:rsidRPr="009F5533">
            <w:rPr>
              <w:b/>
              <w:color w:val="404040" w:themeColor="text1" w:themeTint="BF"/>
              <w:sz w:val="20"/>
            </w:rPr>
            <w:t>SECRETARÍA EJECUTIVA DE ADMINISTRACIÓN</w:t>
          </w:r>
        </w:p>
        <w:p w:rsidR="00BE4BFF" w:rsidRPr="009F5533" w:rsidRDefault="00BE4BFF" w:rsidP="009F5533">
          <w:pPr>
            <w:pStyle w:val="Sinespaciado"/>
            <w:rPr>
              <w:b/>
              <w:color w:val="595959" w:themeColor="text1" w:themeTint="A6"/>
              <w:sz w:val="20"/>
            </w:rPr>
          </w:pPr>
          <w:r w:rsidRPr="009F5533">
            <w:rPr>
              <w:b/>
              <w:color w:val="595959" w:themeColor="text1" w:themeTint="A6"/>
              <w:sz w:val="20"/>
            </w:rPr>
            <w:t>DIRECCIÓN GENERAL DE INMUEBLES Y MANTENIMIENTO</w:t>
          </w:r>
        </w:p>
        <w:p w:rsidR="00BE4BFF" w:rsidRDefault="00BE4BFF" w:rsidP="00F5777F">
          <w:pPr>
            <w:pStyle w:val="Sinespaciado"/>
          </w:pPr>
          <w:r w:rsidRPr="009F5533">
            <w:rPr>
              <w:b/>
              <w:color w:val="7F7F7F" w:themeColor="text1" w:themeTint="80"/>
              <w:sz w:val="20"/>
            </w:rPr>
            <w:t>DIRECCIÓN DE PR</w:t>
          </w:r>
          <w:r>
            <w:rPr>
              <w:b/>
              <w:color w:val="7F7F7F" w:themeColor="text1" w:themeTint="80"/>
              <w:sz w:val="20"/>
            </w:rPr>
            <w:t>ESUPUESTOS Y CONCURSOS</w:t>
          </w:r>
        </w:p>
      </w:tc>
      <w:tc>
        <w:tcPr>
          <w:tcW w:w="1966" w:type="dxa"/>
          <w:tcBorders>
            <w:bottom w:val="single" w:sz="4" w:space="0" w:color="A6A6A6" w:themeColor="background1" w:themeShade="A6"/>
          </w:tcBorders>
        </w:tcPr>
        <w:p w:rsidR="00BE4BFF" w:rsidRDefault="00BE4BFF" w:rsidP="00625B50">
          <w:pPr>
            <w:pStyle w:val="Sinespaciado"/>
            <w:ind w:right="-27"/>
            <w:jc w:val="right"/>
          </w:pPr>
          <w:r>
            <w:rPr>
              <w:noProof/>
              <w:lang w:eastAsia="es-MX"/>
            </w:rPr>
            <w:drawing>
              <wp:inline distT="0" distB="0" distL="0" distR="0" wp14:anchorId="186B3B0D" wp14:editId="64C528E7">
                <wp:extent cx="1038010" cy="983012"/>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875" cy="987619"/>
                        </a:xfrm>
                        <a:prstGeom prst="rect">
                          <a:avLst/>
                        </a:prstGeom>
                        <a:noFill/>
                      </pic:spPr>
                    </pic:pic>
                  </a:graphicData>
                </a:graphic>
              </wp:inline>
            </w:drawing>
          </w:r>
        </w:p>
      </w:tc>
    </w:tr>
    <w:tr w:rsidR="00BE4BFF" w:rsidRPr="006D2A01" w:rsidTr="00C96150">
      <w:trPr>
        <w:trHeight w:val="131"/>
      </w:trPr>
      <w:tc>
        <w:tcPr>
          <w:tcW w:w="9828" w:type="dxa"/>
          <w:gridSpan w:val="3"/>
          <w:tcBorders>
            <w:top w:val="single" w:sz="4" w:space="0" w:color="A6A6A6" w:themeColor="background1" w:themeShade="A6"/>
          </w:tcBorders>
        </w:tcPr>
        <w:p w:rsidR="00BE4BFF" w:rsidRPr="006D2A01" w:rsidRDefault="00BE4BFF" w:rsidP="00C96150">
          <w:pPr>
            <w:pStyle w:val="Sinespaciado"/>
            <w:jc w:val="right"/>
            <w:rPr>
              <w:sz w:val="20"/>
              <w:szCs w:val="20"/>
            </w:rPr>
          </w:pPr>
          <w:r w:rsidRPr="006D2A01">
            <w:rPr>
              <w:sz w:val="20"/>
              <w:szCs w:val="20"/>
            </w:rPr>
            <w:t>Dictamen de Adjudicación</w:t>
          </w:r>
          <w:r>
            <w:rPr>
              <w:sz w:val="20"/>
              <w:szCs w:val="20"/>
            </w:rPr>
            <w:t xml:space="preserve"> </w:t>
          </w:r>
          <w:r w:rsidRPr="006D2A01">
            <w:rPr>
              <w:sz w:val="20"/>
              <w:szCs w:val="20"/>
            </w:rPr>
            <w:t xml:space="preserve"> No. </w:t>
          </w:r>
          <w:r w:rsidR="00433E15" w:rsidRPr="00710CC2">
            <w:rPr>
              <w:noProof/>
              <w:color w:val="0000FF"/>
              <w:sz w:val="20"/>
              <w:szCs w:val="20"/>
            </w:rPr>
            <w:t>SEA/DGIM/017/2016</w:t>
          </w:r>
        </w:p>
        <w:p w:rsidR="00BE4BFF" w:rsidRPr="006D2A01" w:rsidRDefault="00BE4BFF" w:rsidP="005708D6">
          <w:pPr>
            <w:pStyle w:val="Sinespaciado"/>
            <w:jc w:val="right"/>
            <w:rPr>
              <w:b/>
            </w:rPr>
          </w:pPr>
          <w:r w:rsidRPr="00F047B4">
            <w:rPr>
              <w:noProof/>
              <w:color w:val="0000FF"/>
              <w:sz w:val="20"/>
              <w:szCs w:val="20"/>
            </w:rPr>
            <w:t>INVITACIÓN A CUANDO MENOS TRES CONTRATISTAS</w:t>
          </w:r>
          <w:r w:rsidRPr="00EA1D0C">
            <w:rPr>
              <w:color w:val="0000FF"/>
              <w:sz w:val="20"/>
              <w:szCs w:val="20"/>
            </w:rPr>
            <w:t xml:space="preserve"> </w:t>
          </w:r>
          <w:r w:rsidRPr="006D2A01">
            <w:rPr>
              <w:sz w:val="20"/>
              <w:szCs w:val="20"/>
            </w:rPr>
            <w:t xml:space="preserve">No. </w:t>
          </w:r>
          <w:r w:rsidR="00433E15" w:rsidRPr="00710CC2">
            <w:rPr>
              <w:noProof/>
              <w:color w:val="0000FF"/>
              <w:sz w:val="20"/>
              <w:szCs w:val="20"/>
            </w:rPr>
            <w:t>CJF-07/ITC/PMECM/2016</w:t>
          </w:r>
        </w:p>
      </w:tc>
    </w:tr>
  </w:tbl>
  <w:p w:rsidR="00BE4BFF" w:rsidRDefault="00BE4BFF" w:rsidP="00EB6A2A">
    <w:pPr>
      <w:pStyle w:val="Encabezado"/>
      <w:tabs>
        <w:tab w:val="clear" w:pos="8838"/>
        <w:tab w:val="left" w:pos="4956"/>
        <w:tab w:val="left" w:pos="5664"/>
        <w:tab w:val="left" w:pos="6372"/>
      </w:tabs>
      <w:jc w:val="right"/>
      <w:rPr>
        <w:i/>
        <w:noProof/>
        <w:sz w:val="16"/>
        <w:szCs w:val="16"/>
      </w:rPr>
    </w:pPr>
  </w:p>
  <w:p w:rsidR="00BE4BFF" w:rsidRPr="00EA1D0C" w:rsidRDefault="00BE4BFF" w:rsidP="00EB6A2A">
    <w:pPr>
      <w:pStyle w:val="Encabezado"/>
      <w:tabs>
        <w:tab w:val="clear" w:pos="8838"/>
        <w:tab w:val="left" w:pos="4956"/>
        <w:tab w:val="left" w:pos="5664"/>
        <w:tab w:val="left" w:pos="6372"/>
      </w:tabs>
      <w:jc w:val="right"/>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478"/>
      <w:gridCol w:w="1966"/>
    </w:tblGrid>
    <w:tr w:rsidR="00BE4BFF" w:rsidTr="009E6CB2">
      <w:trPr>
        <w:trHeight w:val="1131"/>
      </w:trPr>
      <w:tc>
        <w:tcPr>
          <w:tcW w:w="1384" w:type="dxa"/>
        </w:tcPr>
        <w:p w:rsidR="00BE4BFF" w:rsidRDefault="00BE4BFF" w:rsidP="00B1122D">
          <w:pPr>
            <w:pStyle w:val="Sinespaciado"/>
          </w:pPr>
          <w:r>
            <w:rPr>
              <w:noProof/>
              <w:lang w:eastAsia="es-MX"/>
            </w:rPr>
            <w:drawing>
              <wp:inline distT="0" distB="0" distL="0" distR="0" wp14:anchorId="12FDDE2F" wp14:editId="30416DC4">
                <wp:extent cx="798381" cy="803081"/>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55" cy="803055"/>
                        </a:xfrm>
                        <a:prstGeom prst="rect">
                          <a:avLst/>
                        </a:prstGeom>
                        <a:noFill/>
                      </pic:spPr>
                    </pic:pic>
                  </a:graphicData>
                </a:graphic>
              </wp:inline>
            </w:drawing>
          </w:r>
        </w:p>
      </w:tc>
      <w:tc>
        <w:tcPr>
          <w:tcW w:w="6478" w:type="dxa"/>
          <w:vAlign w:val="bottom"/>
        </w:tcPr>
        <w:p w:rsidR="00BE4BFF" w:rsidRPr="009F5533" w:rsidRDefault="00BE4BFF" w:rsidP="009E6CB2">
          <w:pPr>
            <w:pStyle w:val="Sinespaciado"/>
            <w:rPr>
              <w:b/>
              <w:sz w:val="20"/>
            </w:rPr>
          </w:pPr>
        </w:p>
        <w:p w:rsidR="00BE4BFF" w:rsidRPr="009F5533" w:rsidRDefault="00BE4BFF" w:rsidP="009E6CB2">
          <w:pPr>
            <w:pStyle w:val="Sinespaciado"/>
            <w:rPr>
              <w:b/>
              <w:color w:val="404040" w:themeColor="text1" w:themeTint="BF"/>
              <w:sz w:val="20"/>
            </w:rPr>
          </w:pPr>
          <w:r w:rsidRPr="009F5533">
            <w:rPr>
              <w:b/>
              <w:color w:val="404040" w:themeColor="text1" w:themeTint="BF"/>
              <w:sz w:val="20"/>
            </w:rPr>
            <w:t>SECRETARÍA EJECUTIVA DE ADMINISTRACIÓN</w:t>
          </w:r>
        </w:p>
        <w:p w:rsidR="00BE4BFF" w:rsidRPr="009F5533" w:rsidRDefault="00BE4BFF" w:rsidP="009E6CB2">
          <w:pPr>
            <w:pStyle w:val="Sinespaciado"/>
            <w:rPr>
              <w:b/>
              <w:color w:val="595959" w:themeColor="text1" w:themeTint="A6"/>
              <w:sz w:val="20"/>
            </w:rPr>
          </w:pPr>
          <w:r w:rsidRPr="009F5533">
            <w:rPr>
              <w:b/>
              <w:color w:val="595959" w:themeColor="text1" w:themeTint="A6"/>
              <w:sz w:val="20"/>
            </w:rPr>
            <w:t>DIRECCIÓN GENERAL DE INMUEBLES Y MANTENIMIENTO</w:t>
          </w:r>
        </w:p>
        <w:p w:rsidR="00BE4BFF" w:rsidRDefault="00BE4BFF" w:rsidP="00F5777F">
          <w:pPr>
            <w:pStyle w:val="Sinespaciado"/>
          </w:pPr>
          <w:r>
            <w:rPr>
              <w:b/>
              <w:color w:val="7F7F7F" w:themeColor="text1" w:themeTint="80"/>
              <w:sz w:val="20"/>
            </w:rPr>
            <w:t xml:space="preserve">DIRECCIÓN DE PRESUPUESTOS Y </w:t>
          </w:r>
          <w:r w:rsidRPr="009F5533">
            <w:rPr>
              <w:b/>
              <w:color w:val="7F7F7F" w:themeColor="text1" w:themeTint="80"/>
              <w:sz w:val="20"/>
            </w:rPr>
            <w:t>CON</w:t>
          </w:r>
          <w:r>
            <w:rPr>
              <w:b/>
              <w:color w:val="7F7F7F" w:themeColor="text1" w:themeTint="80"/>
              <w:sz w:val="20"/>
            </w:rPr>
            <w:t>CURSOS</w:t>
          </w:r>
        </w:p>
      </w:tc>
      <w:tc>
        <w:tcPr>
          <w:tcW w:w="1966" w:type="dxa"/>
        </w:tcPr>
        <w:p w:rsidR="00BE4BFF" w:rsidRDefault="00BE4BFF" w:rsidP="00B1122D">
          <w:pPr>
            <w:pStyle w:val="Sinespaciado"/>
            <w:ind w:right="-27"/>
            <w:jc w:val="right"/>
          </w:pPr>
          <w:r>
            <w:rPr>
              <w:noProof/>
              <w:lang w:eastAsia="es-MX"/>
            </w:rPr>
            <w:drawing>
              <wp:inline distT="0" distB="0" distL="0" distR="0" wp14:anchorId="591CD6FC" wp14:editId="42707922">
                <wp:extent cx="848012" cy="80308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461" cy="817712"/>
                        </a:xfrm>
                        <a:prstGeom prst="rect">
                          <a:avLst/>
                        </a:prstGeom>
                        <a:noFill/>
                      </pic:spPr>
                    </pic:pic>
                  </a:graphicData>
                </a:graphic>
              </wp:inline>
            </w:drawing>
          </w:r>
        </w:p>
      </w:tc>
    </w:tr>
  </w:tbl>
  <w:p w:rsidR="00BE4BFF" w:rsidRPr="00332309" w:rsidRDefault="00BE4BFF" w:rsidP="00332309">
    <w:pPr>
      <w:pStyle w:val="Encabezado"/>
      <w:tabs>
        <w:tab w:val="clear" w:pos="4419"/>
        <w:tab w:val="clear" w:pos="8838"/>
        <w:tab w:val="left" w:pos="8415"/>
      </w:tabs>
      <w:rPr>
        <w:sz w:val="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5AE"/>
    <w:multiLevelType w:val="hybridMultilevel"/>
    <w:tmpl w:val="8D185874"/>
    <w:lvl w:ilvl="0" w:tplc="F5F8ED54">
      <w:start w:val="1"/>
      <w:numFmt w:val="upperRoman"/>
      <w:lvlText w:val="%1."/>
      <w:lvlJc w:val="left"/>
      <w:pPr>
        <w:ind w:left="1080" w:hanging="720"/>
      </w:pPr>
      <w:rPr>
        <w:rFonts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AE32FE"/>
    <w:multiLevelType w:val="hybridMultilevel"/>
    <w:tmpl w:val="A8FA0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1F339C"/>
    <w:multiLevelType w:val="hybridMultilevel"/>
    <w:tmpl w:val="3DB6BA7E"/>
    <w:lvl w:ilvl="0" w:tplc="D1B806E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690034"/>
    <w:multiLevelType w:val="hybridMultilevel"/>
    <w:tmpl w:val="E6D899E6"/>
    <w:lvl w:ilvl="0" w:tplc="E22C4E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031466"/>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2B0EB2"/>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546EB2"/>
    <w:multiLevelType w:val="hybridMultilevel"/>
    <w:tmpl w:val="433250A4"/>
    <w:lvl w:ilvl="0" w:tplc="0DA2513E">
      <w:start w:val="1"/>
      <w:numFmt w:val="decimal"/>
      <w:lvlText w:val="%1."/>
      <w:lvlJc w:val="left"/>
      <w:pPr>
        <w:ind w:left="360" w:hanging="360"/>
      </w:pPr>
      <w:rPr>
        <w:b/>
        <w:color w:val="auto"/>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C0E7400"/>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D704F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A7135F"/>
    <w:multiLevelType w:val="hybridMultilevel"/>
    <w:tmpl w:val="C0A64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DF00F1"/>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2559A2"/>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A674DA"/>
    <w:multiLevelType w:val="hybridMultilevel"/>
    <w:tmpl w:val="C0A64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6A2DF2"/>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6B5793"/>
    <w:multiLevelType w:val="hybridMultilevel"/>
    <w:tmpl w:val="C0A64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D1321C"/>
    <w:multiLevelType w:val="hybridMultilevel"/>
    <w:tmpl w:val="1F7897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C2002E"/>
    <w:multiLevelType w:val="hybridMultilevel"/>
    <w:tmpl w:val="8D185874"/>
    <w:lvl w:ilvl="0" w:tplc="F5F8ED54">
      <w:start w:val="1"/>
      <w:numFmt w:val="upperRoman"/>
      <w:lvlText w:val="%1."/>
      <w:lvlJc w:val="left"/>
      <w:pPr>
        <w:ind w:left="1080" w:hanging="720"/>
      </w:pPr>
      <w:rPr>
        <w:rFonts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2D5B8C"/>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113AD4"/>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AA755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F0610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FF583F"/>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862A03"/>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A93FCF"/>
    <w:multiLevelType w:val="hybridMultilevel"/>
    <w:tmpl w:val="C47C6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260B8A"/>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1AF3776"/>
    <w:multiLevelType w:val="hybridMultilevel"/>
    <w:tmpl w:val="B394D1AA"/>
    <w:lvl w:ilvl="0" w:tplc="270432D4">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7AA3C08"/>
    <w:multiLevelType w:val="hybridMultilevel"/>
    <w:tmpl w:val="5B146C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092ED1"/>
    <w:multiLevelType w:val="hybridMultilevel"/>
    <w:tmpl w:val="A998C842"/>
    <w:lvl w:ilvl="0" w:tplc="E22C4E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1202623"/>
    <w:multiLevelType w:val="hybridMultilevel"/>
    <w:tmpl w:val="A8E6277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B20847"/>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D347F6"/>
    <w:multiLevelType w:val="hybridMultilevel"/>
    <w:tmpl w:val="A8E6277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59B050F"/>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D40504"/>
    <w:multiLevelType w:val="hybridMultilevel"/>
    <w:tmpl w:val="10CA66B4"/>
    <w:lvl w:ilvl="0" w:tplc="D1B806E0">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773C1B8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8A522E6"/>
    <w:multiLevelType w:val="hybridMultilevel"/>
    <w:tmpl w:val="0172DF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58659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5"/>
  </w:num>
  <w:num w:numId="3">
    <w:abstractNumId w:val="26"/>
  </w:num>
  <w:num w:numId="4">
    <w:abstractNumId w:val="16"/>
  </w:num>
  <w:num w:numId="5">
    <w:abstractNumId w:val="23"/>
  </w:num>
  <w:num w:numId="6">
    <w:abstractNumId w:val="0"/>
  </w:num>
  <w:num w:numId="7">
    <w:abstractNumId w:val="6"/>
  </w:num>
  <w:num w:numId="8">
    <w:abstractNumId w:val="8"/>
  </w:num>
  <w:num w:numId="9">
    <w:abstractNumId w:val="31"/>
  </w:num>
  <w:num w:numId="10">
    <w:abstractNumId w:val="1"/>
  </w:num>
  <w:num w:numId="11">
    <w:abstractNumId w:val="34"/>
  </w:num>
  <w:num w:numId="12">
    <w:abstractNumId w:val="2"/>
  </w:num>
  <w:num w:numId="13">
    <w:abstractNumId w:val="32"/>
  </w:num>
  <w:num w:numId="14">
    <w:abstractNumId w:val="25"/>
  </w:num>
  <w:num w:numId="15">
    <w:abstractNumId w:val="22"/>
  </w:num>
  <w:num w:numId="16">
    <w:abstractNumId w:val="17"/>
  </w:num>
  <w:num w:numId="17">
    <w:abstractNumId w:val="29"/>
  </w:num>
  <w:num w:numId="18">
    <w:abstractNumId w:val="19"/>
  </w:num>
  <w:num w:numId="19">
    <w:abstractNumId w:val="5"/>
  </w:num>
  <w:num w:numId="20">
    <w:abstractNumId w:val="7"/>
  </w:num>
  <w:num w:numId="21">
    <w:abstractNumId w:val="24"/>
  </w:num>
  <w:num w:numId="22">
    <w:abstractNumId w:val="20"/>
  </w:num>
  <w:num w:numId="23">
    <w:abstractNumId w:val="21"/>
  </w:num>
  <w:num w:numId="24">
    <w:abstractNumId w:val="33"/>
  </w:num>
  <w:num w:numId="25">
    <w:abstractNumId w:val="4"/>
  </w:num>
  <w:num w:numId="26">
    <w:abstractNumId w:val="13"/>
  </w:num>
  <w:num w:numId="27">
    <w:abstractNumId w:val="35"/>
  </w:num>
  <w:num w:numId="28">
    <w:abstractNumId w:val="18"/>
  </w:num>
  <w:num w:numId="29">
    <w:abstractNumId w:val="11"/>
  </w:num>
  <w:num w:numId="30">
    <w:abstractNumId w:val="9"/>
  </w:num>
  <w:num w:numId="31">
    <w:abstractNumId w:val="28"/>
  </w:num>
  <w:num w:numId="32">
    <w:abstractNumId w:val="27"/>
  </w:num>
  <w:num w:numId="33">
    <w:abstractNumId w:val="3"/>
  </w:num>
  <w:num w:numId="34">
    <w:abstractNumId w:val="30"/>
  </w:num>
  <w:num w:numId="35">
    <w:abstractNumId w:val="14"/>
  </w:num>
  <w:num w:numId="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66"/>
    <w:rsid w:val="000008A4"/>
    <w:rsid w:val="00001899"/>
    <w:rsid w:val="0000266E"/>
    <w:rsid w:val="00004216"/>
    <w:rsid w:val="000055B2"/>
    <w:rsid w:val="00005D73"/>
    <w:rsid w:val="000067A7"/>
    <w:rsid w:val="000070CF"/>
    <w:rsid w:val="00007175"/>
    <w:rsid w:val="00011FF2"/>
    <w:rsid w:val="00016983"/>
    <w:rsid w:val="000211DE"/>
    <w:rsid w:val="000223C6"/>
    <w:rsid w:val="00022858"/>
    <w:rsid w:val="0002443F"/>
    <w:rsid w:val="0002619C"/>
    <w:rsid w:val="0002723A"/>
    <w:rsid w:val="00027FA3"/>
    <w:rsid w:val="0003301B"/>
    <w:rsid w:val="00033C58"/>
    <w:rsid w:val="000340E0"/>
    <w:rsid w:val="00034E2F"/>
    <w:rsid w:val="000353D9"/>
    <w:rsid w:val="00037059"/>
    <w:rsid w:val="00037077"/>
    <w:rsid w:val="00037AB1"/>
    <w:rsid w:val="00041ABE"/>
    <w:rsid w:val="0004235C"/>
    <w:rsid w:val="0004235D"/>
    <w:rsid w:val="00043B58"/>
    <w:rsid w:val="000443F1"/>
    <w:rsid w:val="00045C89"/>
    <w:rsid w:val="000478CD"/>
    <w:rsid w:val="00047AE1"/>
    <w:rsid w:val="00050D7C"/>
    <w:rsid w:val="00051383"/>
    <w:rsid w:val="00052D81"/>
    <w:rsid w:val="00054683"/>
    <w:rsid w:val="0005673D"/>
    <w:rsid w:val="0006047F"/>
    <w:rsid w:val="0006326A"/>
    <w:rsid w:val="00063646"/>
    <w:rsid w:val="00063BCC"/>
    <w:rsid w:val="00063F40"/>
    <w:rsid w:val="00067418"/>
    <w:rsid w:val="00070816"/>
    <w:rsid w:val="0007142E"/>
    <w:rsid w:val="00071FB8"/>
    <w:rsid w:val="00073909"/>
    <w:rsid w:val="00073AF7"/>
    <w:rsid w:val="00074285"/>
    <w:rsid w:val="00076757"/>
    <w:rsid w:val="0008092A"/>
    <w:rsid w:val="00080B1D"/>
    <w:rsid w:val="00086A9D"/>
    <w:rsid w:val="00087227"/>
    <w:rsid w:val="00090197"/>
    <w:rsid w:val="00091885"/>
    <w:rsid w:val="000921B2"/>
    <w:rsid w:val="000938EC"/>
    <w:rsid w:val="00095434"/>
    <w:rsid w:val="00096C66"/>
    <w:rsid w:val="000A0370"/>
    <w:rsid w:val="000A2F9E"/>
    <w:rsid w:val="000A3725"/>
    <w:rsid w:val="000A4A36"/>
    <w:rsid w:val="000A4AC0"/>
    <w:rsid w:val="000A6EBF"/>
    <w:rsid w:val="000A737C"/>
    <w:rsid w:val="000B1DB7"/>
    <w:rsid w:val="000B3D02"/>
    <w:rsid w:val="000B4168"/>
    <w:rsid w:val="000B68A8"/>
    <w:rsid w:val="000B6EFA"/>
    <w:rsid w:val="000C1585"/>
    <w:rsid w:val="000C17B3"/>
    <w:rsid w:val="000C1978"/>
    <w:rsid w:val="000C22B4"/>
    <w:rsid w:val="000C2A0A"/>
    <w:rsid w:val="000C3308"/>
    <w:rsid w:val="000C5244"/>
    <w:rsid w:val="000C5429"/>
    <w:rsid w:val="000C585B"/>
    <w:rsid w:val="000C7F9B"/>
    <w:rsid w:val="000D0C17"/>
    <w:rsid w:val="000D2274"/>
    <w:rsid w:val="000D3851"/>
    <w:rsid w:val="000D3F8D"/>
    <w:rsid w:val="000D54FB"/>
    <w:rsid w:val="000D5837"/>
    <w:rsid w:val="000D6623"/>
    <w:rsid w:val="000E0173"/>
    <w:rsid w:val="000E07A7"/>
    <w:rsid w:val="000E10EC"/>
    <w:rsid w:val="000E187A"/>
    <w:rsid w:val="000E198F"/>
    <w:rsid w:val="000E1F57"/>
    <w:rsid w:val="000E358F"/>
    <w:rsid w:val="000E39B3"/>
    <w:rsid w:val="000E4CA0"/>
    <w:rsid w:val="000E5B7C"/>
    <w:rsid w:val="000E7631"/>
    <w:rsid w:val="000F43B5"/>
    <w:rsid w:val="000F6B12"/>
    <w:rsid w:val="000F7C14"/>
    <w:rsid w:val="00101A51"/>
    <w:rsid w:val="00102B14"/>
    <w:rsid w:val="00102EF7"/>
    <w:rsid w:val="00103105"/>
    <w:rsid w:val="00105898"/>
    <w:rsid w:val="001102E2"/>
    <w:rsid w:val="00110959"/>
    <w:rsid w:val="0011163E"/>
    <w:rsid w:val="00112E82"/>
    <w:rsid w:val="00113BB1"/>
    <w:rsid w:val="00114BDA"/>
    <w:rsid w:val="001162C3"/>
    <w:rsid w:val="001171AA"/>
    <w:rsid w:val="0011745D"/>
    <w:rsid w:val="001244E4"/>
    <w:rsid w:val="0012622A"/>
    <w:rsid w:val="0012629A"/>
    <w:rsid w:val="00126609"/>
    <w:rsid w:val="001279DF"/>
    <w:rsid w:val="00127B97"/>
    <w:rsid w:val="00127D02"/>
    <w:rsid w:val="00127FBD"/>
    <w:rsid w:val="00130550"/>
    <w:rsid w:val="0013300C"/>
    <w:rsid w:val="00133433"/>
    <w:rsid w:val="00135418"/>
    <w:rsid w:val="00136842"/>
    <w:rsid w:val="00137DC0"/>
    <w:rsid w:val="00137EBE"/>
    <w:rsid w:val="0014091A"/>
    <w:rsid w:val="00144584"/>
    <w:rsid w:val="001451C1"/>
    <w:rsid w:val="00145599"/>
    <w:rsid w:val="00146812"/>
    <w:rsid w:val="001470A4"/>
    <w:rsid w:val="001474AC"/>
    <w:rsid w:val="00147E72"/>
    <w:rsid w:val="0015173A"/>
    <w:rsid w:val="00152CA8"/>
    <w:rsid w:val="00153B62"/>
    <w:rsid w:val="00154F32"/>
    <w:rsid w:val="00154FA9"/>
    <w:rsid w:val="00155395"/>
    <w:rsid w:val="00156309"/>
    <w:rsid w:val="00156AD7"/>
    <w:rsid w:val="001601C1"/>
    <w:rsid w:val="001616B2"/>
    <w:rsid w:val="00163C1B"/>
    <w:rsid w:val="00163C83"/>
    <w:rsid w:val="0016666B"/>
    <w:rsid w:val="00166CFD"/>
    <w:rsid w:val="001670B7"/>
    <w:rsid w:val="001707E4"/>
    <w:rsid w:val="001708C2"/>
    <w:rsid w:val="00170EB9"/>
    <w:rsid w:val="00171855"/>
    <w:rsid w:val="00173C82"/>
    <w:rsid w:val="001749F8"/>
    <w:rsid w:val="00177C76"/>
    <w:rsid w:val="00180B87"/>
    <w:rsid w:val="00181B6C"/>
    <w:rsid w:val="00182260"/>
    <w:rsid w:val="00182E19"/>
    <w:rsid w:val="001841DF"/>
    <w:rsid w:val="0018448B"/>
    <w:rsid w:val="00186C73"/>
    <w:rsid w:val="001875F5"/>
    <w:rsid w:val="001878ED"/>
    <w:rsid w:val="00187C76"/>
    <w:rsid w:val="001919CC"/>
    <w:rsid w:val="00191B52"/>
    <w:rsid w:val="00192D49"/>
    <w:rsid w:val="001930AB"/>
    <w:rsid w:val="00193AD2"/>
    <w:rsid w:val="00193EB3"/>
    <w:rsid w:val="001958C4"/>
    <w:rsid w:val="00196222"/>
    <w:rsid w:val="00197F33"/>
    <w:rsid w:val="001A269C"/>
    <w:rsid w:val="001A498D"/>
    <w:rsid w:val="001A58BD"/>
    <w:rsid w:val="001A7C6E"/>
    <w:rsid w:val="001B0550"/>
    <w:rsid w:val="001B1452"/>
    <w:rsid w:val="001B36E5"/>
    <w:rsid w:val="001B4B51"/>
    <w:rsid w:val="001B550B"/>
    <w:rsid w:val="001B6151"/>
    <w:rsid w:val="001B67B2"/>
    <w:rsid w:val="001C280F"/>
    <w:rsid w:val="001C2E5D"/>
    <w:rsid w:val="001C4719"/>
    <w:rsid w:val="001C4C20"/>
    <w:rsid w:val="001C5043"/>
    <w:rsid w:val="001C5282"/>
    <w:rsid w:val="001C6103"/>
    <w:rsid w:val="001C722B"/>
    <w:rsid w:val="001D071F"/>
    <w:rsid w:val="001D2E9F"/>
    <w:rsid w:val="001D492E"/>
    <w:rsid w:val="001D4D7F"/>
    <w:rsid w:val="001D6154"/>
    <w:rsid w:val="001D6E5A"/>
    <w:rsid w:val="001D7211"/>
    <w:rsid w:val="001E0D1E"/>
    <w:rsid w:val="001E20FF"/>
    <w:rsid w:val="001E3F8F"/>
    <w:rsid w:val="001E49E4"/>
    <w:rsid w:val="001E59CD"/>
    <w:rsid w:val="001F26E8"/>
    <w:rsid w:val="001F28A6"/>
    <w:rsid w:val="001F2FB9"/>
    <w:rsid w:val="001F55E0"/>
    <w:rsid w:val="001F577F"/>
    <w:rsid w:val="001F66CF"/>
    <w:rsid w:val="001F7204"/>
    <w:rsid w:val="00200AC9"/>
    <w:rsid w:val="00201DF6"/>
    <w:rsid w:val="0020226A"/>
    <w:rsid w:val="0020276C"/>
    <w:rsid w:val="00202F3D"/>
    <w:rsid w:val="002045BC"/>
    <w:rsid w:val="0020561E"/>
    <w:rsid w:val="0020608B"/>
    <w:rsid w:val="002109C6"/>
    <w:rsid w:val="0021352D"/>
    <w:rsid w:val="00217058"/>
    <w:rsid w:val="002201A8"/>
    <w:rsid w:val="00221483"/>
    <w:rsid w:val="00222A8A"/>
    <w:rsid w:val="00222E1F"/>
    <w:rsid w:val="00222F62"/>
    <w:rsid w:val="00226617"/>
    <w:rsid w:val="00230F1B"/>
    <w:rsid w:val="0023113A"/>
    <w:rsid w:val="0023113D"/>
    <w:rsid w:val="00231AB6"/>
    <w:rsid w:val="002332E0"/>
    <w:rsid w:val="00235B76"/>
    <w:rsid w:val="002405E5"/>
    <w:rsid w:val="00241F0A"/>
    <w:rsid w:val="00244478"/>
    <w:rsid w:val="00244E18"/>
    <w:rsid w:val="0024731A"/>
    <w:rsid w:val="002526C6"/>
    <w:rsid w:val="0025369D"/>
    <w:rsid w:val="00256174"/>
    <w:rsid w:val="002564DF"/>
    <w:rsid w:val="002576E1"/>
    <w:rsid w:val="002577E7"/>
    <w:rsid w:val="002626CD"/>
    <w:rsid w:val="00263BC3"/>
    <w:rsid w:val="0026597F"/>
    <w:rsid w:val="00267096"/>
    <w:rsid w:val="00270856"/>
    <w:rsid w:val="00272FC2"/>
    <w:rsid w:val="00273372"/>
    <w:rsid w:val="00273ACE"/>
    <w:rsid w:val="00273C97"/>
    <w:rsid w:val="00274F45"/>
    <w:rsid w:val="002768F6"/>
    <w:rsid w:val="002809CE"/>
    <w:rsid w:val="00281F3B"/>
    <w:rsid w:val="002839E4"/>
    <w:rsid w:val="00284CBF"/>
    <w:rsid w:val="0028602E"/>
    <w:rsid w:val="00286FAC"/>
    <w:rsid w:val="002903E5"/>
    <w:rsid w:val="0029052B"/>
    <w:rsid w:val="00292706"/>
    <w:rsid w:val="00292E43"/>
    <w:rsid w:val="00293184"/>
    <w:rsid w:val="00294078"/>
    <w:rsid w:val="00294972"/>
    <w:rsid w:val="0029561D"/>
    <w:rsid w:val="0029748E"/>
    <w:rsid w:val="002A141B"/>
    <w:rsid w:val="002A1442"/>
    <w:rsid w:val="002A1549"/>
    <w:rsid w:val="002A1F48"/>
    <w:rsid w:val="002A2002"/>
    <w:rsid w:val="002A2936"/>
    <w:rsid w:val="002A31DE"/>
    <w:rsid w:val="002A3397"/>
    <w:rsid w:val="002A3537"/>
    <w:rsid w:val="002A3A41"/>
    <w:rsid w:val="002A3B68"/>
    <w:rsid w:val="002A3FCA"/>
    <w:rsid w:val="002A4F97"/>
    <w:rsid w:val="002A5913"/>
    <w:rsid w:val="002B0E96"/>
    <w:rsid w:val="002B1063"/>
    <w:rsid w:val="002B3BD8"/>
    <w:rsid w:val="002B5463"/>
    <w:rsid w:val="002C06C3"/>
    <w:rsid w:val="002C076A"/>
    <w:rsid w:val="002C0E6F"/>
    <w:rsid w:val="002C1206"/>
    <w:rsid w:val="002C20C8"/>
    <w:rsid w:val="002C25B1"/>
    <w:rsid w:val="002C5DE3"/>
    <w:rsid w:val="002C7EC7"/>
    <w:rsid w:val="002E25A0"/>
    <w:rsid w:val="002E25A7"/>
    <w:rsid w:val="002E3F0F"/>
    <w:rsid w:val="002E59D2"/>
    <w:rsid w:val="002E5D05"/>
    <w:rsid w:val="002E6657"/>
    <w:rsid w:val="002F051F"/>
    <w:rsid w:val="002F0E9F"/>
    <w:rsid w:val="002F16EE"/>
    <w:rsid w:val="002F4D69"/>
    <w:rsid w:val="002F5169"/>
    <w:rsid w:val="002F528D"/>
    <w:rsid w:val="002F5C55"/>
    <w:rsid w:val="002F67BF"/>
    <w:rsid w:val="002F6B9E"/>
    <w:rsid w:val="002F6D73"/>
    <w:rsid w:val="003001F8"/>
    <w:rsid w:val="0030122F"/>
    <w:rsid w:val="00301330"/>
    <w:rsid w:val="00301DE3"/>
    <w:rsid w:val="00302235"/>
    <w:rsid w:val="00303106"/>
    <w:rsid w:val="003036AD"/>
    <w:rsid w:val="00303E48"/>
    <w:rsid w:val="003049E5"/>
    <w:rsid w:val="003050E3"/>
    <w:rsid w:val="00305CE9"/>
    <w:rsid w:val="003069DA"/>
    <w:rsid w:val="00310A40"/>
    <w:rsid w:val="00311F9F"/>
    <w:rsid w:val="0031658B"/>
    <w:rsid w:val="00316AEF"/>
    <w:rsid w:val="00320A36"/>
    <w:rsid w:val="00320F49"/>
    <w:rsid w:val="0032303D"/>
    <w:rsid w:val="00324A00"/>
    <w:rsid w:val="0032627B"/>
    <w:rsid w:val="00326CBC"/>
    <w:rsid w:val="0033061E"/>
    <w:rsid w:val="00330A91"/>
    <w:rsid w:val="00332309"/>
    <w:rsid w:val="00332B03"/>
    <w:rsid w:val="00333AC3"/>
    <w:rsid w:val="0033600B"/>
    <w:rsid w:val="00340002"/>
    <w:rsid w:val="003420B5"/>
    <w:rsid w:val="0034229D"/>
    <w:rsid w:val="00342E10"/>
    <w:rsid w:val="00344259"/>
    <w:rsid w:val="003470F7"/>
    <w:rsid w:val="00347BEF"/>
    <w:rsid w:val="00350363"/>
    <w:rsid w:val="0035058F"/>
    <w:rsid w:val="003509D2"/>
    <w:rsid w:val="00351D5E"/>
    <w:rsid w:val="00352311"/>
    <w:rsid w:val="003533CF"/>
    <w:rsid w:val="003557A0"/>
    <w:rsid w:val="00355EDE"/>
    <w:rsid w:val="00356CCC"/>
    <w:rsid w:val="003602DE"/>
    <w:rsid w:val="00361325"/>
    <w:rsid w:val="00361DD9"/>
    <w:rsid w:val="00361ECD"/>
    <w:rsid w:val="00364C1B"/>
    <w:rsid w:val="00372E2D"/>
    <w:rsid w:val="003754FD"/>
    <w:rsid w:val="003771CE"/>
    <w:rsid w:val="00380BE2"/>
    <w:rsid w:val="003817E4"/>
    <w:rsid w:val="00381E13"/>
    <w:rsid w:val="00382585"/>
    <w:rsid w:val="00382769"/>
    <w:rsid w:val="003828B6"/>
    <w:rsid w:val="00383225"/>
    <w:rsid w:val="0038756A"/>
    <w:rsid w:val="00391E59"/>
    <w:rsid w:val="00392CEB"/>
    <w:rsid w:val="00395CD0"/>
    <w:rsid w:val="0039657D"/>
    <w:rsid w:val="00396C89"/>
    <w:rsid w:val="00396D8E"/>
    <w:rsid w:val="003975A5"/>
    <w:rsid w:val="003978FA"/>
    <w:rsid w:val="003A038D"/>
    <w:rsid w:val="003A1ADB"/>
    <w:rsid w:val="003A4F13"/>
    <w:rsid w:val="003A605E"/>
    <w:rsid w:val="003A7DE8"/>
    <w:rsid w:val="003B21B0"/>
    <w:rsid w:val="003B2528"/>
    <w:rsid w:val="003B51AD"/>
    <w:rsid w:val="003B6D90"/>
    <w:rsid w:val="003B745B"/>
    <w:rsid w:val="003C38C9"/>
    <w:rsid w:val="003C3D41"/>
    <w:rsid w:val="003C53DA"/>
    <w:rsid w:val="003C6560"/>
    <w:rsid w:val="003C7CA9"/>
    <w:rsid w:val="003C7F9C"/>
    <w:rsid w:val="003D1455"/>
    <w:rsid w:val="003D442D"/>
    <w:rsid w:val="003D5330"/>
    <w:rsid w:val="003D7713"/>
    <w:rsid w:val="003E0185"/>
    <w:rsid w:val="003E0660"/>
    <w:rsid w:val="003E0868"/>
    <w:rsid w:val="003E16B1"/>
    <w:rsid w:val="003E1BF6"/>
    <w:rsid w:val="003E407A"/>
    <w:rsid w:val="003E51A3"/>
    <w:rsid w:val="003E60DE"/>
    <w:rsid w:val="003F3F76"/>
    <w:rsid w:val="003F6AA6"/>
    <w:rsid w:val="00400092"/>
    <w:rsid w:val="0040232D"/>
    <w:rsid w:val="0040293A"/>
    <w:rsid w:val="00402992"/>
    <w:rsid w:val="00402FEA"/>
    <w:rsid w:val="00403045"/>
    <w:rsid w:val="00403966"/>
    <w:rsid w:val="004047C8"/>
    <w:rsid w:val="00405AD3"/>
    <w:rsid w:val="0041126B"/>
    <w:rsid w:val="004117B5"/>
    <w:rsid w:val="004144AE"/>
    <w:rsid w:val="0041505B"/>
    <w:rsid w:val="00415EEF"/>
    <w:rsid w:val="00417202"/>
    <w:rsid w:val="00417FD6"/>
    <w:rsid w:val="00420B60"/>
    <w:rsid w:val="004211E3"/>
    <w:rsid w:val="004218BB"/>
    <w:rsid w:val="0042426C"/>
    <w:rsid w:val="00424AA2"/>
    <w:rsid w:val="00425FFB"/>
    <w:rsid w:val="00427B17"/>
    <w:rsid w:val="00430A9A"/>
    <w:rsid w:val="00430B31"/>
    <w:rsid w:val="00432D3F"/>
    <w:rsid w:val="00432DDE"/>
    <w:rsid w:val="00433E15"/>
    <w:rsid w:val="0043441E"/>
    <w:rsid w:val="004347B8"/>
    <w:rsid w:val="00434C4B"/>
    <w:rsid w:val="0043540F"/>
    <w:rsid w:val="00435496"/>
    <w:rsid w:val="0043595B"/>
    <w:rsid w:val="00435CAB"/>
    <w:rsid w:val="00436020"/>
    <w:rsid w:val="00436F59"/>
    <w:rsid w:val="00440819"/>
    <w:rsid w:val="00441E0A"/>
    <w:rsid w:val="00441F21"/>
    <w:rsid w:val="00446ECD"/>
    <w:rsid w:val="0045005B"/>
    <w:rsid w:val="00452620"/>
    <w:rsid w:val="00453A06"/>
    <w:rsid w:val="00455CD4"/>
    <w:rsid w:val="0045706F"/>
    <w:rsid w:val="004571F0"/>
    <w:rsid w:val="00457326"/>
    <w:rsid w:val="00462850"/>
    <w:rsid w:val="0046465E"/>
    <w:rsid w:val="00467037"/>
    <w:rsid w:val="00467545"/>
    <w:rsid w:val="00470F91"/>
    <w:rsid w:val="00473C7C"/>
    <w:rsid w:val="00477589"/>
    <w:rsid w:val="00480B52"/>
    <w:rsid w:val="00481B4E"/>
    <w:rsid w:val="00482E54"/>
    <w:rsid w:val="0048384C"/>
    <w:rsid w:val="00483C13"/>
    <w:rsid w:val="00485A95"/>
    <w:rsid w:val="00490793"/>
    <w:rsid w:val="004937DE"/>
    <w:rsid w:val="00493CAF"/>
    <w:rsid w:val="004968EB"/>
    <w:rsid w:val="00496BCC"/>
    <w:rsid w:val="004A0DEA"/>
    <w:rsid w:val="004A104C"/>
    <w:rsid w:val="004A2DCA"/>
    <w:rsid w:val="004A4C6B"/>
    <w:rsid w:val="004A4CC1"/>
    <w:rsid w:val="004A57C3"/>
    <w:rsid w:val="004A622A"/>
    <w:rsid w:val="004B06F8"/>
    <w:rsid w:val="004B2DF6"/>
    <w:rsid w:val="004B77B0"/>
    <w:rsid w:val="004C137E"/>
    <w:rsid w:val="004C2461"/>
    <w:rsid w:val="004C3492"/>
    <w:rsid w:val="004C3AC7"/>
    <w:rsid w:val="004C54AF"/>
    <w:rsid w:val="004C55B7"/>
    <w:rsid w:val="004C6C09"/>
    <w:rsid w:val="004D0C60"/>
    <w:rsid w:val="004D1DF3"/>
    <w:rsid w:val="004D2FB8"/>
    <w:rsid w:val="004D3EFD"/>
    <w:rsid w:val="004D3FBE"/>
    <w:rsid w:val="004D4D07"/>
    <w:rsid w:val="004D6730"/>
    <w:rsid w:val="004D7579"/>
    <w:rsid w:val="004D7D58"/>
    <w:rsid w:val="004E2484"/>
    <w:rsid w:val="004E49CB"/>
    <w:rsid w:val="004E572D"/>
    <w:rsid w:val="004E6B4C"/>
    <w:rsid w:val="004E6DDF"/>
    <w:rsid w:val="004F025F"/>
    <w:rsid w:val="004F04A8"/>
    <w:rsid w:val="004F09CE"/>
    <w:rsid w:val="004F13EB"/>
    <w:rsid w:val="004F1CEF"/>
    <w:rsid w:val="004F3E4D"/>
    <w:rsid w:val="00500779"/>
    <w:rsid w:val="00501795"/>
    <w:rsid w:val="0050433E"/>
    <w:rsid w:val="00504CF2"/>
    <w:rsid w:val="00505B75"/>
    <w:rsid w:val="00505CE4"/>
    <w:rsid w:val="005101C3"/>
    <w:rsid w:val="00511AF8"/>
    <w:rsid w:val="0051257A"/>
    <w:rsid w:val="0051389D"/>
    <w:rsid w:val="00514AB1"/>
    <w:rsid w:val="0051699E"/>
    <w:rsid w:val="00521801"/>
    <w:rsid w:val="00524093"/>
    <w:rsid w:val="00530A51"/>
    <w:rsid w:val="00530C91"/>
    <w:rsid w:val="00535028"/>
    <w:rsid w:val="0053626E"/>
    <w:rsid w:val="005418D5"/>
    <w:rsid w:val="00542F6D"/>
    <w:rsid w:val="005453FD"/>
    <w:rsid w:val="00545499"/>
    <w:rsid w:val="0054617B"/>
    <w:rsid w:val="00546241"/>
    <w:rsid w:val="005527FC"/>
    <w:rsid w:val="005563E0"/>
    <w:rsid w:val="00557D2F"/>
    <w:rsid w:val="005605B2"/>
    <w:rsid w:val="0056089F"/>
    <w:rsid w:val="00560AED"/>
    <w:rsid w:val="005647E5"/>
    <w:rsid w:val="00566114"/>
    <w:rsid w:val="005707EE"/>
    <w:rsid w:val="005708D6"/>
    <w:rsid w:val="00570960"/>
    <w:rsid w:val="00571145"/>
    <w:rsid w:val="005718DF"/>
    <w:rsid w:val="005740DF"/>
    <w:rsid w:val="005752E7"/>
    <w:rsid w:val="00575944"/>
    <w:rsid w:val="00576106"/>
    <w:rsid w:val="00576A63"/>
    <w:rsid w:val="00576A6B"/>
    <w:rsid w:val="00581626"/>
    <w:rsid w:val="00581662"/>
    <w:rsid w:val="005828FB"/>
    <w:rsid w:val="005830B2"/>
    <w:rsid w:val="005878D5"/>
    <w:rsid w:val="005907E2"/>
    <w:rsid w:val="00590E73"/>
    <w:rsid w:val="00590F5A"/>
    <w:rsid w:val="005916E4"/>
    <w:rsid w:val="0059454A"/>
    <w:rsid w:val="00597F44"/>
    <w:rsid w:val="005A5242"/>
    <w:rsid w:val="005A5687"/>
    <w:rsid w:val="005A7F3A"/>
    <w:rsid w:val="005B069F"/>
    <w:rsid w:val="005B183E"/>
    <w:rsid w:val="005B1BBC"/>
    <w:rsid w:val="005B3567"/>
    <w:rsid w:val="005B471C"/>
    <w:rsid w:val="005B6446"/>
    <w:rsid w:val="005B7592"/>
    <w:rsid w:val="005C1D4D"/>
    <w:rsid w:val="005C25DF"/>
    <w:rsid w:val="005C3EA7"/>
    <w:rsid w:val="005C48E7"/>
    <w:rsid w:val="005C529E"/>
    <w:rsid w:val="005C64E9"/>
    <w:rsid w:val="005C70EB"/>
    <w:rsid w:val="005D1302"/>
    <w:rsid w:val="005D4034"/>
    <w:rsid w:val="005D41C1"/>
    <w:rsid w:val="005D4625"/>
    <w:rsid w:val="005D5130"/>
    <w:rsid w:val="005D6FFF"/>
    <w:rsid w:val="005E378C"/>
    <w:rsid w:val="005E3E50"/>
    <w:rsid w:val="005E641C"/>
    <w:rsid w:val="005E6899"/>
    <w:rsid w:val="005F09B0"/>
    <w:rsid w:val="005F2A22"/>
    <w:rsid w:val="005F53BC"/>
    <w:rsid w:val="005F58CA"/>
    <w:rsid w:val="005F6F3E"/>
    <w:rsid w:val="00600088"/>
    <w:rsid w:val="00601263"/>
    <w:rsid w:val="006023E4"/>
    <w:rsid w:val="006031AB"/>
    <w:rsid w:val="00603DF2"/>
    <w:rsid w:val="00604B2B"/>
    <w:rsid w:val="00604F72"/>
    <w:rsid w:val="00605032"/>
    <w:rsid w:val="00605683"/>
    <w:rsid w:val="006112DB"/>
    <w:rsid w:val="00611A14"/>
    <w:rsid w:val="006121CA"/>
    <w:rsid w:val="006125B0"/>
    <w:rsid w:val="00613A2E"/>
    <w:rsid w:val="00614787"/>
    <w:rsid w:val="006148CF"/>
    <w:rsid w:val="00615B59"/>
    <w:rsid w:val="00616986"/>
    <w:rsid w:val="00616AC6"/>
    <w:rsid w:val="00617FD4"/>
    <w:rsid w:val="00620FFD"/>
    <w:rsid w:val="00621C2F"/>
    <w:rsid w:val="00623A38"/>
    <w:rsid w:val="00624CD6"/>
    <w:rsid w:val="00625B50"/>
    <w:rsid w:val="00630B55"/>
    <w:rsid w:val="006313B3"/>
    <w:rsid w:val="00631946"/>
    <w:rsid w:val="006321CE"/>
    <w:rsid w:val="00632381"/>
    <w:rsid w:val="006328FF"/>
    <w:rsid w:val="00633277"/>
    <w:rsid w:val="006340D3"/>
    <w:rsid w:val="00636302"/>
    <w:rsid w:val="00637A5B"/>
    <w:rsid w:val="00637BBD"/>
    <w:rsid w:val="00637F6B"/>
    <w:rsid w:val="00637F9B"/>
    <w:rsid w:val="00640370"/>
    <w:rsid w:val="0064121E"/>
    <w:rsid w:val="00642291"/>
    <w:rsid w:val="006429A6"/>
    <w:rsid w:val="00644E8B"/>
    <w:rsid w:val="0064705C"/>
    <w:rsid w:val="006538BA"/>
    <w:rsid w:val="006538F8"/>
    <w:rsid w:val="0065710F"/>
    <w:rsid w:val="00657494"/>
    <w:rsid w:val="00660B99"/>
    <w:rsid w:val="006671CA"/>
    <w:rsid w:val="006677D2"/>
    <w:rsid w:val="00667E85"/>
    <w:rsid w:val="00670E5E"/>
    <w:rsid w:val="006732E5"/>
    <w:rsid w:val="0067388F"/>
    <w:rsid w:val="00673A9A"/>
    <w:rsid w:val="006758EF"/>
    <w:rsid w:val="00676AD4"/>
    <w:rsid w:val="0067723F"/>
    <w:rsid w:val="006822AC"/>
    <w:rsid w:val="0068349C"/>
    <w:rsid w:val="0068404E"/>
    <w:rsid w:val="00686DE2"/>
    <w:rsid w:val="006879DA"/>
    <w:rsid w:val="00691759"/>
    <w:rsid w:val="00693B8B"/>
    <w:rsid w:val="00694790"/>
    <w:rsid w:val="00697A78"/>
    <w:rsid w:val="006A0463"/>
    <w:rsid w:val="006A26FB"/>
    <w:rsid w:val="006A39C7"/>
    <w:rsid w:val="006A3BB6"/>
    <w:rsid w:val="006A3FB3"/>
    <w:rsid w:val="006A445C"/>
    <w:rsid w:val="006A61F5"/>
    <w:rsid w:val="006B0521"/>
    <w:rsid w:val="006B07D1"/>
    <w:rsid w:val="006B0AC4"/>
    <w:rsid w:val="006B463C"/>
    <w:rsid w:val="006B4E63"/>
    <w:rsid w:val="006B56A1"/>
    <w:rsid w:val="006B7BE7"/>
    <w:rsid w:val="006C0578"/>
    <w:rsid w:val="006C1964"/>
    <w:rsid w:val="006C2145"/>
    <w:rsid w:val="006C4196"/>
    <w:rsid w:val="006C53F6"/>
    <w:rsid w:val="006C5FFC"/>
    <w:rsid w:val="006C6162"/>
    <w:rsid w:val="006C6DCA"/>
    <w:rsid w:val="006C721B"/>
    <w:rsid w:val="006D241F"/>
    <w:rsid w:val="006D29B8"/>
    <w:rsid w:val="006D2A01"/>
    <w:rsid w:val="006D5AC3"/>
    <w:rsid w:val="006D700D"/>
    <w:rsid w:val="006E0F32"/>
    <w:rsid w:val="006E2366"/>
    <w:rsid w:val="006E2BD6"/>
    <w:rsid w:val="006E2C39"/>
    <w:rsid w:val="006E30E7"/>
    <w:rsid w:val="006E3390"/>
    <w:rsid w:val="006E4547"/>
    <w:rsid w:val="006E5B32"/>
    <w:rsid w:val="006E61D9"/>
    <w:rsid w:val="006E7DF9"/>
    <w:rsid w:val="006F0667"/>
    <w:rsid w:val="006F0C1F"/>
    <w:rsid w:val="006F26F6"/>
    <w:rsid w:val="006F676E"/>
    <w:rsid w:val="006F6F52"/>
    <w:rsid w:val="00702860"/>
    <w:rsid w:val="00702FB3"/>
    <w:rsid w:val="00703CE6"/>
    <w:rsid w:val="007075C4"/>
    <w:rsid w:val="007075D4"/>
    <w:rsid w:val="00710503"/>
    <w:rsid w:val="007111C6"/>
    <w:rsid w:val="00713042"/>
    <w:rsid w:val="00715C98"/>
    <w:rsid w:val="0072005E"/>
    <w:rsid w:val="0072395B"/>
    <w:rsid w:val="00724589"/>
    <w:rsid w:val="0072541E"/>
    <w:rsid w:val="00725AC7"/>
    <w:rsid w:val="0072643C"/>
    <w:rsid w:val="007274E4"/>
    <w:rsid w:val="00727F44"/>
    <w:rsid w:val="00730D30"/>
    <w:rsid w:val="00731BA4"/>
    <w:rsid w:val="00732919"/>
    <w:rsid w:val="007343E8"/>
    <w:rsid w:val="0073555E"/>
    <w:rsid w:val="007366B0"/>
    <w:rsid w:val="0074143D"/>
    <w:rsid w:val="00742C8B"/>
    <w:rsid w:val="007446C7"/>
    <w:rsid w:val="00744D75"/>
    <w:rsid w:val="00744EDF"/>
    <w:rsid w:val="00747791"/>
    <w:rsid w:val="00751A0D"/>
    <w:rsid w:val="00754623"/>
    <w:rsid w:val="00756C28"/>
    <w:rsid w:val="00756EB0"/>
    <w:rsid w:val="00757789"/>
    <w:rsid w:val="00760CAE"/>
    <w:rsid w:val="00760E98"/>
    <w:rsid w:val="0076224B"/>
    <w:rsid w:val="00766437"/>
    <w:rsid w:val="0076746E"/>
    <w:rsid w:val="00767869"/>
    <w:rsid w:val="00770E50"/>
    <w:rsid w:val="00771AB2"/>
    <w:rsid w:val="0077272E"/>
    <w:rsid w:val="00773CAD"/>
    <w:rsid w:val="007749D3"/>
    <w:rsid w:val="00774CA5"/>
    <w:rsid w:val="00774F31"/>
    <w:rsid w:val="007803B8"/>
    <w:rsid w:val="00783627"/>
    <w:rsid w:val="0078527A"/>
    <w:rsid w:val="007859A6"/>
    <w:rsid w:val="00787E31"/>
    <w:rsid w:val="00791FD1"/>
    <w:rsid w:val="00792167"/>
    <w:rsid w:val="0079636F"/>
    <w:rsid w:val="007A057B"/>
    <w:rsid w:val="007A14E7"/>
    <w:rsid w:val="007A1D5D"/>
    <w:rsid w:val="007A37F5"/>
    <w:rsid w:val="007A4F66"/>
    <w:rsid w:val="007A686B"/>
    <w:rsid w:val="007A788F"/>
    <w:rsid w:val="007B099B"/>
    <w:rsid w:val="007B12B4"/>
    <w:rsid w:val="007B3716"/>
    <w:rsid w:val="007B3E8D"/>
    <w:rsid w:val="007B464F"/>
    <w:rsid w:val="007B5861"/>
    <w:rsid w:val="007B5F48"/>
    <w:rsid w:val="007C00E5"/>
    <w:rsid w:val="007C291C"/>
    <w:rsid w:val="007C4684"/>
    <w:rsid w:val="007C4A7D"/>
    <w:rsid w:val="007C5DB5"/>
    <w:rsid w:val="007C6A26"/>
    <w:rsid w:val="007D4FC0"/>
    <w:rsid w:val="007D5648"/>
    <w:rsid w:val="007D5A32"/>
    <w:rsid w:val="007D7BD4"/>
    <w:rsid w:val="007E0D7B"/>
    <w:rsid w:val="007E36E4"/>
    <w:rsid w:val="007E7077"/>
    <w:rsid w:val="007F206C"/>
    <w:rsid w:val="007F2B33"/>
    <w:rsid w:val="007F4C10"/>
    <w:rsid w:val="007F549F"/>
    <w:rsid w:val="007F5937"/>
    <w:rsid w:val="007F5E4F"/>
    <w:rsid w:val="007F6A38"/>
    <w:rsid w:val="007F6D7F"/>
    <w:rsid w:val="007F7FDD"/>
    <w:rsid w:val="00800F5D"/>
    <w:rsid w:val="008021C9"/>
    <w:rsid w:val="00802D7B"/>
    <w:rsid w:val="00804D58"/>
    <w:rsid w:val="008050D4"/>
    <w:rsid w:val="00805C6A"/>
    <w:rsid w:val="00806AB7"/>
    <w:rsid w:val="00810659"/>
    <w:rsid w:val="008118A8"/>
    <w:rsid w:val="00812229"/>
    <w:rsid w:val="00812E65"/>
    <w:rsid w:val="00814554"/>
    <w:rsid w:val="008153E9"/>
    <w:rsid w:val="008159C1"/>
    <w:rsid w:val="0081659A"/>
    <w:rsid w:val="00816643"/>
    <w:rsid w:val="0082145A"/>
    <w:rsid w:val="00821B07"/>
    <w:rsid w:val="00822B62"/>
    <w:rsid w:val="00824E23"/>
    <w:rsid w:val="00827B6C"/>
    <w:rsid w:val="0083139C"/>
    <w:rsid w:val="00831882"/>
    <w:rsid w:val="00832732"/>
    <w:rsid w:val="0083292A"/>
    <w:rsid w:val="008330A4"/>
    <w:rsid w:val="00834A66"/>
    <w:rsid w:val="0083654B"/>
    <w:rsid w:val="00836643"/>
    <w:rsid w:val="00836D22"/>
    <w:rsid w:val="00840991"/>
    <w:rsid w:val="008414AE"/>
    <w:rsid w:val="00841C1C"/>
    <w:rsid w:val="00841F7A"/>
    <w:rsid w:val="00842507"/>
    <w:rsid w:val="00842803"/>
    <w:rsid w:val="00843681"/>
    <w:rsid w:val="008438CA"/>
    <w:rsid w:val="00846889"/>
    <w:rsid w:val="0084771E"/>
    <w:rsid w:val="00847882"/>
    <w:rsid w:val="0085062E"/>
    <w:rsid w:val="008506B6"/>
    <w:rsid w:val="00850C2D"/>
    <w:rsid w:val="008516AE"/>
    <w:rsid w:val="00852E5A"/>
    <w:rsid w:val="00855403"/>
    <w:rsid w:val="0085543F"/>
    <w:rsid w:val="00860CF3"/>
    <w:rsid w:val="00860E11"/>
    <w:rsid w:val="00862234"/>
    <w:rsid w:val="008624BB"/>
    <w:rsid w:val="00865D03"/>
    <w:rsid w:val="00866F19"/>
    <w:rsid w:val="0086723B"/>
    <w:rsid w:val="00871F27"/>
    <w:rsid w:val="0087322D"/>
    <w:rsid w:val="00873BBB"/>
    <w:rsid w:val="00874485"/>
    <w:rsid w:val="00876D0C"/>
    <w:rsid w:val="0088119C"/>
    <w:rsid w:val="00881596"/>
    <w:rsid w:val="00882B13"/>
    <w:rsid w:val="00884D9D"/>
    <w:rsid w:val="00885ED8"/>
    <w:rsid w:val="00891521"/>
    <w:rsid w:val="008935C6"/>
    <w:rsid w:val="00893648"/>
    <w:rsid w:val="00893FAF"/>
    <w:rsid w:val="0089497E"/>
    <w:rsid w:val="00894BBF"/>
    <w:rsid w:val="008966C1"/>
    <w:rsid w:val="00896987"/>
    <w:rsid w:val="00897CE4"/>
    <w:rsid w:val="00897F53"/>
    <w:rsid w:val="008A0C01"/>
    <w:rsid w:val="008A10C2"/>
    <w:rsid w:val="008A197C"/>
    <w:rsid w:val="008A1C8D"/>
    <w:rsid w:val="008A3ECC"/>
    <w:rsid w:val="008A40C4"/>
    <w:rsid w:val="008A6102"/>
    <w:rsid w:val="008A6A33"/>
    <w:rsid w:val="008A70B7"/>
    <w:rsid w:val="008A73D1"/>
    <w:rsid w:val="008B062C"/>
    <w:rsid w:val="008B141F"/>
    <w:rsid w:val="008B285A"/>
    <w:rsid w:val="008B2994"/>
    <w:rsid w:val="008B3E2B"/>
    <w:rsid w:val="008B3FF4"/>
    <w:rsid w:val="008B4365"/>
    <w:rsid w:val="008B566A"/>
    <w:rsid w:val="008B645A"/>
    <w:rsid w:val="008B6BE1"/>
    <w:rsid w:val="008B714F"/>
    <w:rsid w:val="008B722D"/>
    <w:rsid w:val="008C019E"/>
    <w:rsid w:val="008C32C1"/>
    <w:rsid w:val="008C42D9"/>
    <w:rsid w:val="008C4BDB"/>
    <w:rsid w:val="008C64DA"/>
    <w:rsid w:val="008C6810"/>
    <w:rsid w:val="008C6CA9"/>
    <w:rsid w:val="008D0393"/>
    <w:rsid w:val="008D0C29"/>
    <w:rsid w:val="008D38B1"/>
    <w:rsid w:val="008D3AF8"/>
    <w:rsid w:val="008E03A0"/>
    <w:rsid w:val="008E13E8"/>
    <w:rsid w:val="008E2708"/>
    <w:rsid w:val="008E40C0"/>
    <w:rsid w:val="008E55FC"/>
    <w:rsid w:val="008E597E"/>
    <w:rsid w:val="008E6978"/>
    <w:rsid w:val="008F0EFB"/>
    <w:rsid w:val="008F2F8C"/>
    <w:rsid w:val="008F3266"/>
    <w:rsid w:val="008F3A65"/>
    <w:rsid w:val="008F5279"/>
    <w:rsid w:val="008F62EE"/>
    <w:rsid w:val="008F6B45"/>
    <w:rsid w:val="008F6C8B"/>
    <w:rsid w:val="008F6D1B"/>
    <w:rsid w:val="008F7DDE"/>
    <w:rsid w:val="009031C0"/>
    <w:rsid w:val="009032EF"/>
    <w:rsid w:val="00903DA8"/>
    <w:rsid w:val="0090506A"/>
    <w:rsid w:val="009059BB"/>
    <w:rsid w:val="009060D3"/>
    <w:rsid w:val="009061C1"/>
    <w:rsid w:val="00906F05"/>
    <w:rsid w:val="00910DDD"/>
    <w:rsid w:val="00911C4C"/>
    <w:rsid w:val="009131BA"/>
    <w:rsid w:val="009151BF"/>
    <w:rsid w:val="00916E57"/>
    <w:rsid w:val="009206B1"/>
    <w:rsid w:val="00922DFE"/>
    <w:rsid w:val="0092600E"/>
    <w:rsid w:val="00926C09"/>
    <w:rsid w:val="0093012D"/>
    <w:rsid w:val="00930D8A"/>
    <w:rsid w:val="00930E4C"/>
    <w:rsid w:val="00930FA3"/>
    <w:rsid w:val="0093190D"/>
    <w:rsid w:val="0093626D"/>
    <w:rsid w:val="009369E9"/>
    <w:rsid w:val="00936BDC"/>
    <w:rsid w:val="00936D62"/>
    <w:rsid w:val="00937203"/>
    <w:rsid w:val="00941066"/>
    <w:rsid w:val="009422A8"/>
    <w:rsid w:val="00945B37"/>
    <w:rsid w:val="009467F0"/>
    <w:rsid w:val="00946D22"/>
    <w:rsid w:val="00947586"/>
    <w:rsid w:val="00947D5F"/>
    <w:rsid w:val="00950B42"/>
    <w:rsid w:val="00952E88"/>
    <w:rsid w:val="009537F7"/>
    <w:rsid w:val="009553F7"/>
    <w:rsid w:val="00956411"/>
    <w:rsid w:val="0095671B"/>
    <w:rsid w:val="00960471"/>
    <w:rsid w:val="00960998"/>
    <w:rsid w:val="00960BB3"/>
    <w:rsid w:val="00961695"/>
    <w:rsid w:val="009625F3"/>
    <w:rsid w:val="009632D2"/>
    <w:rsid w:val="00964549"/>
    <w:rsid w:val="00965104"/>
    <w:rsid w:val="00966402"/>
    <w:rsid w:val="009668F1"/>
    <w:rsid w:val="00970E98"/>
    <w:rsid w:val="00971CDB"/>
    <w:rsid w:val="00971D61"/>
    <w:rsid w:val="00972036"/>
    <w:rsid w:val="00975DB1"/>
    <w:rsid w:val="00975E9D"/>
    <w:rsid w:val="00977311"/>
    <w:rsid w:val="00980843"/>
    <w:rsid w:val="00980BA1"/>
    <w:rsid w:val="0098199A"/>
    <w:rsid w:val="00982366"/>
    <w:rsid w:val="00983E5C"/>
    <w:rsid w:val="00984192"/>
    <w:rsid w:val="00984AEA"/>
    <w:rsid w:val="00985F00"/>
    <w:rsid w:val="009900D5"/>
    <w:rsid w:val="0099133B"/>
    <w:rsid w:val="00991E7F"/>
    <w:rsid w:val="009952D0"/>
    <w:rsid w:val="00996AC0"/>
    <w:rsid w:val="009A1AA5"/>
    <w:rsid w:val="009A2B88"/>
    <w:rsid w:val="009A7328"/>
    <w:rsid w:val="009B088A"/>
    <w:rsid w:val="009B09A4"/>
    <w:rsid w:val="009B2830"/>
    <w:rsid w:val="009B3A70"/>
    <w:rsid w:val="009B5603"/>
    <w:rsid w:val="009B6A6E"/>
    <w:rsid w:val="009C1BA4"/>
    <w:rsid w:val="009C2CE4"/>
    <w:rsid w:val="009C47D3"/>
    <w:rsid w:val="009C4D92"/>
    <w:rsid w:val="009C58FE"/>
    <w:rsid w:val="009C59FA"/>
    <w:rsid w:val="009C6212"/>
    <w:rsid w:val="009C6C82"/>
    <w:rsid w:val="009C7784"/>
    <w:rsid w:val="009D0D3B"/>
    <w:rsid w:val="009D1C3F"/>
    <w:rsid w:val="009D2710"/>
    <w:rsid w:val="009D3A3E"/>
    <w:rsid w:val="009D470D"/>
    <w:rsid w:val="009D7720"/>
    <w:rsid w:val="009D77B0"/>
    <w:rsid w:val="009D7D59"/>
    <w:rsid w:val="009E23E9"/>
    <w:rsid w:val="009E2D21"/>
    <w:rsid w:val="009E3783"/>
    <w:rsid w:val="009E60D4"/>
    <w:rsid w:val="009E61E4"/>
    <w:rsid w:val="009E6CB2"/>
    <w:rsid w:val="009E6FD1"/>
    <w:rsid w:val="009F03ED"/>
    <w:rsid w:val="009F147B"/>
    <w:rsid w:val="009F225C"/>
    <w:rsid w:val="009F3459"/>
    <w:rsid w:val="009F4882"/>
    <w:rsid w:val="009F5533"/>
    <w:rsid w:val="009F6645"/>
    <w:rsid w:val="009F66CB"/>
    <w:rsid w:val="009F726C"/>
    <w:rsid w:val="009F7716"/>
    <w:rsid w:val="00A02219"/>
    <w:rsid w:val="00A041BF"/>
    <w:rsid w:val="00A04587"/>
    <w:rsid w:val="00A049AD"/>
    <w:rsid w:val="00A10176"/>
    <w:rsid w:val="00A10725"/>
    <w:rsid w:val="00A109EF"/>
    <w:rsid w:val="00A10C4A"/>
    <w:rsid w:val="00A11012"/>
    <w:rsid w:val="00A133CA"/>
    <w:rsid w:val="00A13558"/>
    <w:rsid w:val="00A13581"/>
    <w:rsid w:val="00A1470F"/>
    <w:rsid w:val="00A14850"/>
    <w:rsid w:val="00A15E04"/>
    <w:rsid w:val="00A15FA0"/>
    <w:rsid w:val="00A16098"/>
    <w:rsid w:val="00A160C2"/>
    <w:rsid w:val="00A21943"/>
    <w:rsid w:val="00A22F45"/>
    <w:rsid w:val="00A24F43"/>
    <w:rsid w:val="00A25085"/>
    <w:rsid w:val="00A26689"/>
    <w:rsid w:val="00A269BE"/>
    <w:rsid w:val="00A27142"/>
    <w:rsid w:val="00A27B44"/>
    <w:rsid w:val="00A306B2"/>
    <w:rsid w:val="00A30C82"/>
    <w:rsid w:val="00A310AA"/>
    <w:rsid w:val="00A31B2C"/>
    <w:rsid w:val="00A3214A"/>
    <w:rsid w:val="00A325DB"/>
    <w:rsid w:val="00A35126"/>
    <w:rsid w:val="00A375CD"/>
    <w:rsid w:val="00A44C1B"/>
    <w:rsid w:val="00A4634E"/>
    <w:rsid w:val="00A46968"/>
    <w:rsid w:val="00A46E67"/>
    <w:rsid w:val="00A47228"/>
    <w:rsid w:val="00A507CA"/>
    <w:rsid w:val="00A510BF"/>
    <w:rsid w:val="00A51B05"/>
    <w:rsid w:val="00A53120"/>
    <w:rsid w:val="00A548CC"/>
    <w:rsid w:val="00A55460"/>
    <w:rsid w:val="00A5557A"/>
    <w:rsid w:val="00A55EC0"/>
    <w:rsid w:val="00A561FE"/>
    <w:rsid w:val="00A565AC"/>
    <w:rsid w:val="00A62E1A"/>
    <w:rsid w:val="00A630E6"/>
    <w:rsid w:val="00A63A7B"/>
    <w:rsid w:val="00A63AAF"/>
    <w:rsid w:val="00A65653"/>
    <w:rsid w:val="00A66910"/>
    <w:rsid w:val="00A67EDC"/>
    <w:rsid w:val="00A70C6A"/>
    <w:rsid w:val="00A71720"/>
    <w:rsid w:val="00A717AB"/>
    <w:rsid w:val="00A71913"/>
    <w:rsid w:val="00A71EB6"/>
    <w:rsid w:val="00A72533"/>
    <w:rsid w:val="00A72EE1"/>
    <w:rsid w:val="00A764EB"/>
    <w:rsid w:val="00A76D9C"/>
    <w:rsid w:val="00A80BF4"/>
    <w:rsid w:val="00A82788"/>
    <w:rsid w:val="00A82943"/>
    <w:rsid w:val="00A8307E"/>
    <w:rsid w:val="00A847D7"/>
    <w:rsid w:val="00A848CC"/>
    <w:rsid w:val="00A8638C"/>
    <w:rsid w:val="00A8709C"/>
    <w:rsid w:val="00A87F16"/>
    <w:rsid w:val="00A87FBE"/>
    <w:rsid w:val="00A90AF8"/>
    <w:rsid w:val="00A92569"/>
    <w:rsid w:val="00A92D3D"/>
    <w:rsid w:val="00A96757"/>
    <w:rsid w:val="00AA037B"/>
    <w:rsid w:val="00AA0E98"/>
    <w:rsid w:val="00AA10F1"/>
    <w:rsid w:val="00AA3A0A"/>
    <w:rsid w:val="00AA5277"/>
    <w:rsid w:val="00AB4528"/>
    <w:rsid w:val="00AB49FC"/>
    <w:rsid w:val="00AB5AEC"/>
    <w:rsid w:val="00AB6058"/>
    <w:rsid w:val="00AB6A86"/>
    <w:rsid w:val="00AB6CEA"/>
    <w:rsid w:val="00AC0230"/>
    <w:rsid w:val="00AC2959"/>
    <w:rsid w:val="00AC38B6"/>
    <w:rsid w:val="00AC659A"/>
    <w:rsid w:val="00AC7DF8"/>
    <w:rsid w:val="00AD2E1F"/>
    <w:rsid w:val="00AD3576"/>
    <w:rsid w:val="00AD3E2C"/>
    <w:rsid w:val="00AD47A7"/>
    <w:rsid w:val="00AE03E3"/>
    <w:rsid w:val="00AE073A"/>
    <w:rsid w:val="00AE4B51"/>
    <w:rsid w:val="00AE724A"/>
    <w:rsid w:val="00AE7E7A"/>
    <w:rsid w:val="00AF033B"/>
    <w:rsid w:val="00AF08BD"/>
    <w:rsid w:val="00AF2732"/>
    <w:rsid w:val="00AF3878"/>
    <w:rsid w:val="00AF3B5D"/>
    <w:rsid w:val="00AF5065"/>
    <w:rsid w:val="00AF60D2"/>
    <w:rsid w:val="00B03634"/>
    <w:rsid w:val="00B03B48"/>
    <w:rsid w:val="00B048DC"/>
    <w:rsid w:val="00B0717F"/>
    <w:rsid w:val="00B07E30"/>
    <w:rsid w:val="00B1122D"/>
    <w:rsid w:val="00B11246"/>
    <w:rsid w:val="00B12DE8"/>
    <w:rsid w:val="00B13897"/>
    <w:rsid w:val="00B13B6A"/>
    <w:rsid w:val="00B15872"/>
    <w:rsid w:val="00B15FC3"/>
    <w:rsid w:val="00B22C90"/>
    <w:rsid w:val="00B244ED"/>
    <w:rsid w:val="00B24FE6"/>
    <w:rsid w:val="00B26444"/>
    <w:rsid w:val="00B31376"/>
    <w:rsid w:val="00B31D0D"/>
    <w:rsid w:val="00B323C2"/>
    <w:rsid w:val="00B3375B"/>
    <w:rsid w:val="00B35F94"/>
    <w:rsid w:val="00B378AC"/>
    <w:rsid w:val="00B406AA"/>
    <w:rsid w:val="00B41E70"/>
    <w:rsid w:val="00B4295C"/>
    <w:rsid w:val="00B43183"/>
    <w:rsid w:val="00B43BDE"/>
    <w:rsid w:val="00B44DD7"/>
    <w:rsid w:val="00B46282"/>
    <w:rsid w:val="00B47175"/>
    <w:rsid w:val="00B50957"/>
    <w:rsid w:val="00B5120D"/>
    <w:rsid w:val="00B517A0"/>
    <w:rsid w:val="00B52684"/>
    <w:rsid w:val="00B53A50"/>
    <w:rsid w:val="00B53C2A"/>
    <w:rsid w:val="00B55222"/>
    <w:rsid w:val="00B575C4"/>
    <w:rsid w:val="00B577B8"/>
    <w:rsid w:val="00B66164"/>
    <w:rsid w:val="00B667DD"/>
    <w:rsid w:val="00B66EDD"/>
    <w:rsid w:val="00B7018B"/>
    <w:rsid w:val="00B7035E"/>
    <w:rsid w:val="00B72564"/>
    <w:rsid w:val="00B73112"/>
    <w:rsid w:val="00B733A3"/>
    <w:rsid w:val="00B74133"/>
    <w:rsid w:val="00B74E6E"/>
    <w:rsid w:val="00B775E8"/>
    <w:rsid w:val="00B80EC6"/>
    <w:rsid w:val="00B817BF"/>
    <w:rsid w:val="00B8191F"/>
    <w:rsid w:val="00B82EB2"/>
    <w:rsid w:val="00B83DF8"/>
    <w:rsid w:val="00B84C07"/>
    <w:rsid w:val="00B85FAF"/>
    <w:rsid w:val="00B900D7"/>
    <w:rsid w:val="00B90D49"/>
    <w:rsid w:val="00B913A9"/>
    <w:rsid w:val="00B92B9F"/>
    <w:rsid w:val="00B94FAD"/>
    <w:rsid w:val="00B9595B"/>
    <w:rsid w:val="00B96738"/>
    <w:rsid w:val="00B96E22"/>
    <w:rsid w:val="00B97AAD"/>
    <w:rsid w:val="00B97AC6"/>
    <w:rsid w:val="00B97E9A"/>
    <w:rsid w:val="00BA07C6"/>
    <w:rsid w:val="00BA0CA7"/>
    <w:rsid w:val="00BA2C30"/>
    <w:rsid w:val="00BA3026"/>
    <w:rsid w:val="00BA3197"/>
    <w:rsid w:val="00BA36A5"/>
    <w:rsid w:val="00BA44EE"/>
    <w:rsid w:val="00BA6AF0"/>
    <w:rsid w:val="00BB046C"/>
    <w:rsid w:val="00BB1DD4"/>
    <w:rsid w:val="00BB2803"/>
    <w:rsid w:val="00BC146D"/>
    <w:rsid w:val="00BC27C8"/>
    <w:rsid w:val="00BC4C35"/>
    <w:rsid w:val="00BD05D5"/>
    <w:rsid w:val="00BD07EF"/>
    <w:rsid w:val="00BD15E6"/>
    <w:rsid w:val="00BD7846"/>
    <w:rsid w:val="00BE16F7"/>
    <w:rsid w:val="00BE1FB0"/>
    <w:rsid w:val="00BE3A38"/>
    <w:rsid w:val="00BE466C"/>
    <w:rsid w:val="00BE4BFF"/>
    <w:rsid w:val="00BE69A8"/>
    <w:rsid w:val="00BE73F5"/>
    <w:rsid w:val="00BE7D1F"/>
    <w:rsid w:val="00BF0534"/>
    <w:rsid w:val="00BF12C7"/>
    <w:rsid w:val="00BF2510"/>
    <w:rsid w:val="00BF2C69"/>
    <w:rsid w:val="00BF3075"/>
    <w:rsid w:val="00BF3645"/>
    <w:rsid w:val="00BF41D0"/>
    <w:rsid w:val="00BF7160"/>
    <w:rsid w:val="00BF72A8"/>
    <w:rsid w:val="00BF7C50"/>
    <w:rsid w:val="00C01486"/>
    <w:rsid w:val="00C024D4"/>
    <w:rsid w:val="00C027EF"/>
    <w:rsid w:val="00C0544A"/>
    <w:rsid w:val="00C061CD"/>
    <w:rsid w:val="00C07088"/>
    <w:rsid w:val="00C07EA5"/>
    <w:rsid w:val="00C1010E"/>
    <w:rsid w:val="00C118D9"/>
    <w:rsid w:val="00C11A83"/>
    <w:rsid w:val="00C13B34"/>
    <w:rsid w:val="00C14C51"/>
    <w:rsid w:val="00C14D6E"/>
    <w:rsid w:val="00C1722D"/>
    <w:rsid w:val="00C21254"/>
    <w:rsid w:val="00C212F1"/>
    <w:rsid w:val="00C22358"/>
    <w:rsid w:val="00C22EA1"/>
    <w:rsid w:val="00C251FE"/>
    <w:rsid w:val="00C259A0"/>
    <w:rsid w:val="00C27BE9"/>
    <w:rsid w:val="00C325C7"/>
    <w:rsid w:val="00C32E2C"/>
    <w:rsid w:val="00C35F2B"/>
    <w:rsid w:val="00C36B56"/>
    <w:rsid w:val="00C40540"/>
    <w:rsid w:val="00C4108A"/>
    <w:rsid w:val="00C41817"/>
    <w:rsid w:val="00C41DC7"/>
    <w:rsid w:val="00C43495"/>
    <w:rsid w:val="00C441BB"/>
    <w:rsid w:val="00C447F8"/>
    <w:rsid w:val="00C50A0B"/>
    <w:rsid w:val="00C50C27"/>
    <w:rsid w:val="00C50E16"/>
    <w:rsid w:val="00C523BB"/>
    <w:rsid w:val="00C5266F"/>
    <w:rsid w:val="00C536A4"/>
    <w:rsid w:val="00C54A1B"/>
    <w:rsid w:val="00C55AB7"/>
    <w:rsid w:val="00C5699A"/>
    <w:rsid w:val="00C574EE"/>
    <w:rsid w:val="00C57EED"/>
    <w:rsid w:val="00C61374"/>
    <w:rsid w:val="00C61F1E"/>
    <w:rsid w:val="00C62E12"/>
    <w:rsid w:val="00C6684D"/>
    <w:rsid w:val="00C66999"/>
    <w:rsid w:val="00C6737A"/>
    <w:rsid w:val="00C716EF"/>
    <w:rsid w:val="00C71ED4"/>
    <w:rsid w:val="00C740A3"/>
    <w:rsid w:val="00C7513B"/>
    <w:rsid w:val="00C82992"/>
    <w:rsid w:val="00C83B06"/>
    <w:rsid w:val="00C8473D"/>
    <w:rsid w:val="00C84DD8"/>
    <w:rsid w:val="00C85DF2"/>
    <w:rsid w:val="00C86473"/>
    <w:rsid w:val="00C873EF"/>
    <w:rsid w:val="00C87811"/>
    <w:rsid w:val="00C900B4"/>
    <w:rsid w:val="00C912FA"/>
    <w:rsid w:val="00C93AF2"/>
    <w:rsid w:val="00C95232"/>
    <w:rsid w:val="00C96150"/>
    <w:rsid w:val="00C97F60"/>
    <w:rsid w:val="00CA10CC"/>
    <w:rsid w:val="00CA1286"/>
    <w:rsid w:val="00CA1A85"/>
    <w:rsid w:val="00CA2115"/>
    <w:rsid w:val="00CA31C2"/>
    <w:rsid w:val="00CB2986"/>
    <w:rsid w:val="00CB3B2E"/>
    <w:rsid w:val="00CB4D30"/>
    <w:rsid w:val="00CB66EE"/>
    <w:rsid w:val="00CC0568"/>
    <w:rsid w:val="00CC1D4A"/>
    <w:rsid w:val="00CC1F93"/>
    <w:rsid w:val="00CC3224"/>
    <w:rsid w:val="00CC3976"/>
    <w:rsid w:val="00CD34D1"/>
    <w:rsid w:val="00CD3A12"/>
    <w:rsid w:val="00CD3FD4"/>
    <w:rsid w:val="00CD42A4"/>
    <w:rsid w:val="00CD5152"/>
    <w:rsid w:val="00CE09DE"/>
    <w:rsid w:val="00CE46A7"/>
    <w:rsid w:val="00CE5590"/>
    <w:rsid w:val="00CE612C"/>
    <w:rsid w:val="00CE7636"/>
    <w:rsid w:val="00CF048B"/>
    <w:rsid w:val="00CF09BC"/>
    <w:rsid w:val="00CF33E0"/>
    <w:rsid w:val="00CF4C69"/>
    <w:rsid w:val="00CF74B3"/>
    <w:rsid w:val="00D000AB"/>
    <w:rsid w:val="00D00B5F"/>
    <w:rsid w:val="00D039D2"/>
    <w:rsid w:val="00D0681F"/>
    <w:rsid w:val="00D105C4"/>
    <w:rsid w:val="00D14638"/>
    <w:rsid w:val="00D17FBD"/>
    <w:rsid w:val="00D208F0"/>
    <w:rsid w:val="00D22C5A"/>
    <w:rsid w:val="00D22D24"/>
    <w:rsid w:val="00D23327"/>
    <w:rsid w:val="00D233CE"/>
    <w:rsid w:val="00D24A38"/>
    <w:rsid w:val="00D24CF5"/>
    <w:rsid w:val="00D251E0"/>
    <w:rsid w:val="00D27987"/>
    <w:rsid w:val="00D3037E"/>
    <w:rsid w:val="00D3165F"/>
    <w:rsid w:val="00D33017"/>
    <w:rsid w:val="00D35A1C"/>
    <w:rsid w:val="00D402DC"/>
    <w:rsid w:val="00D426FC"/>
    <w:rsid w:val="00D4365A"/>
    <w:rsid w:val="00D43692"/>
    <w:rsid w:val="00D4412F"/>
    <w:rsid w:val="00D44A43"/>
    <w:rsid w:val="00D450E2"/>
    <w:rsid w:val="00D45E40"/>
    <w:rsid w:val="00D461BC"/>
    <w:rsid w:val="00D4698F"/>
    <w:rsid w:val="00D47BC8"/>
    <w:rsid w:val="00D51166"/>
    <w:rsid w:val="00D51F23"/>
    <w:rsid w:val="00D53B6D"/>
    <w:rsid w:val="00D61255"/>
    <w:rsid w:val="00D63092"/>
    <w:rsid w:val="00D644A9"/>
    <w:rsid w:val="00D64904"/>
    <w:rsid w:val="00D65967"/>
    <w:rsid w:val="00D66A57"/>
    <w:rsid w:val="00D67228"/>
    <w:rsid w:val="00D72076"/>
    <w:rsid w:val="00D7281A"/>
    <w:rsid w:val="00D730BA"/>
    <w:rsid w:val="00D83353"/>
    <w:rsid w:val="00D85F54"/>
    <w:rsid w:val="00D86CC5"/>
    <w:rsid w:val="00D9087E"/>
    <w:rsid w:val="00D9114E"/>
    <w:rsid w:val="00D911EE"/>
    <w:rsid w:val="00D9572E"/>
    <w:rsid w:val="00D95861"/>
    <w:rsid w:val="00D96F9F"/>
    <w:rsid w:val="00DA1458"/>
    <w:rsid w:val="00DA32B2"/>
    <w:rsid w:val="00DA3328"/>
    <w:rsid w:val="00DA3686"/>
    <w:rsid w:val="00DA39FA"/>
    <w:rsid w:val="00DA4DC2"/>
    <w:rsid w:val="00DA4F69"/>
    <w:rsid w:val="00DA66A0"/>
    <w:rsid w:val="00DB1658"/>
    <w:rsid w:val="00DB18A7"/>
    <w:rsid w:val="00DB354A"/>
    <w:rsid w:val="00DB3B9E"/>
    <w:rsid w:val="00DB3FF4"/>
    <w:rsid w:val="00DB6D10"/>
    <w:rsid w:val="00DB710F"/>
    <w:rsid w:val="00DC0054"/>
    <w:rsid w:val="00DC3248"/>
    <w:rsid w:val="00DC34C1"/>
    <w:rsid w:val="00DC3ACF"/>
    <w:rsid w:val="00DC3ADD"/>
    <w:rsid w:val="00DC6937"/>
    <w:rsid w:val="00DD03D0"/>
    <w:rsid w:val="00DD2165"/>
    <w:rsid w:val="00DD2FDC"/>
    <w:rsid w:val="00DD4481"/>
    <w:rsid w:val="00DD4517"/>
    <w:rsid w:val="00DD496B"/>
    <w:rsid w:val="00DD5DD9"/>
    <w:rsid w:val="00DD6CEA"/>
    <w:rsid w:val="00DD7429"/>
    <w:rsid w:val="00DE13D0"/>
    <w:rsid w:val="00DE252F"/>
    <w:rsid w:val="00DE2ABB"/>
    <w:rsid w:val="00DE598A"/>
    <w:rsid w:val="00DE5CC3"/>
    <w:rsid w:val="00DE7DCF"/>
    <w:rsid w:val="00DF0629"/>
    <w:rsid w:val="00DF095C"/>
    <w:rsid w:val="00DF2042"/>
    <w:rsid w:val="00DF2EBD"/>
    <w:rsid w:val="00DF6251"/>
    <w:rsid w:val="00E013DC"/>
    <w:rsid w:val="00E01A3C"/>
    <w:rsid w:val="00E01B48"/>
    <w:rsid w:val="00E01F75"/>
    <w:rsid w:val="00E023AF"/>
    <w:rsid w:val="00E030CE"/>
    <w:rsid w:val="00E049D6"/>
    <w:rsid w:val="00E04EFA"/>
    <w:rsid w:val="00E052E7"/>
    <w:rsid w:val="00E06B3A"/>
    <w:rsid w:val="00E0709A"/>
    <w:rsid w:val="00E07391"/>
    <w:rsid w:val="00E07672"/>
    <w:rsid w:val="00E07B9B"/>
    <w:rsid w:val="00E11291"/>
    <w:rsid w:val="00E1158C"/>
    <w:rsid w:val="00E11D48"/>
    <w:rsid w:val="00E1239F"/>
    <w:rsid w:val="00E12747"/>
    <w:rsid w:val="00E13E5E"/>
    <w:rsid w:val="00E14601"/>
    <w:rsid w:val="00E16950"/>
    <w:rsid w:val="00E211C8"/>
    <w:rsid w:val="00E216E8"/>
    <w:rsid w:val="00E21989"/>
    <w:rsid w:val="00E231B4"/>
    <w:rsid w:val="00E2594B"/>
    <w:rsid w:val="00E25C18"/>
    <w:rsid w:val="00E26AC1"/>
    <w:rsid w:val="00E26E40"/>
    <w:rsid w:val="00E2729B"/>
    <w:rsid w:val="00E324B4"/>
    <w:rsid w:val="00E32A35"/>
    <w:rsid w:val="00E33406"/>
    <w:rsid w:val="00E3674C"/>
    <w:rsid w:val="00E37BCA"/>
    <w:rsid w:val="00E40E2B"/>
    <w:rsid w:val="00E416BD"/>
    <w:rsid w:val="00E42159"/>
    <w:rsid w:val="00E4225D"/>
    <w:rsid w:val="00E443B8"/>
    <w:rsid w:val="00E45796"/>
    <w:rsid w:val="00E45F6C"/>
    <w:rsid w:val="00E4659F"/>
    <w:rsid w:val="00E4697F"/>
    <w:rsid w:val="00E50E7C"/>
    <w:rsid w:val="00E52339"/>
    <w:rsid w:val="00E56171"/>
    <w:rsid w:val="00E577A7"/>
    <w:rsid w:val="00E62B9C"/>
    <w:rsid w:val="00E633F3"/>
    <w:rsid w:val="00E64BDA"/>
    <w:rsid w:val="00E650A2"/>
    <w:rsid w:val="00E652EC"/>
    <w:rsid w:val="00E71CE7"/>
    <w:rsid w:val="00E71CF7"/>
    <w:rsid w:val="00E72AA4"/>
    <w:rsid w:val="00E73F67"/>
    <w:rsid w:val="00E76920"/>
    <w:rsid w:val="00E77FBA"/>
    <w:rsid w:val="00E82790"/>
    <w:rsid w:val="00E84263"/>
    <w:rsid w:val="00E8562B"/>
    <w:rsid w:val="00E86A56"/>
    <w:rsid w:val="00E86E89"/>
    <w:rsid w:val="00E87638"/>
    <w:rsid w:val="00E877D0"/>
    <w:rsid w:val="00E91077"/>
    <w:rsid w:val="00E957D9"/>
    <w:rsid w:val="00E9694C"/>
    <w:rsid w:val="00EA0564"/>
    <w:rsid w:val="00EA1D0C"/>
    <w:rsid w:val="00EA2FD4"/>
    <w:rsid w:val="00EA6B55"/>
    <w:rsid w:val="00EB00BD"/>
    <w:rsid w:val="00EB0354"/>
    <w:rsid w:val="00EB0EDE"/>
    <w:rsid w:val="00EB5AAF"/>
    <w:rsid w:val="00EB6A2A"/>
    <w:rsid w:val="00EC054E"/>
    <w:rsid w:val="00EC30EE"/>
    <w:rsid w:val="00EC3408"/>
    <w:rsid w:val="00EC6853"/>
    <w:rsid w:val="00ED03A2"/>
    <w:rsid w:val="00ED04AF"/>
    <w:rsid w:val="00ED0A87"/>
    <w:rsid w:val="00ED3CCB"/>
    <w:rsid w:val="00ED4749"/>
    <w:rsid w:val="00ED5E52"/>
    <w:rsid w:val="00ED723E"/>
    <w:rsid w:val="00EE08E7"/>
    <w:rsid w:val="00EE2E0D"/>
    <w:rsid w:val="00EE316F"/>
    <w:rsid w:val="00EE4788"/>
    <w:rsid w:val="00EE47B9"/>
    <w:rsid w:val="00EE4EA7"/>
    <w:rsid w:val="00EE6885"/>
    <w:rsid w:val="00EE6E18"/>
    <w:rsid w:val="00EF007C"/>
    <w:rsid w:val="00EF270E"/>
    <w:rsid w:val="00EF32C3"/>
    <w:rsid w:val="00EF4A7B"/>
    <w:rsid w:val="00F01C20"/>
    <w:rsid w:val="00F02738"/>
    <w:rsid w:val="00F0382A"/>
    <w:rsid w:val="00F03B38"/>
    <w:rsid w:val="00F05ACF"/>
    <w:rsid w:val="00F0660E"/>
    <w:rsid w:val="00F076BA"/>
    <w:rsid w:val="00F10EA5"/>
    <w:rsid w:val="00F1180C"/>
    <w:rsid w:val="00F11C8B"/>
    <w:rsid w:val="00F11FC2"/>
    <w:rsid w:val="00F12841"/>
    <w:rsid w:val="00F12BE5"/>
    <w:rsid w:val="00F141E8"/>
    <w:rsid w:val="00F1495A"/>
    <w:rsid w:val="00F17864"/>
    <w:rsid w:val="00F21454"/>
    <w:rsid w:val="00F22266"/>
    <w:rsid w:val="00F24349"/>
    <w:rsid w:val="00F24AE1"/>
    <w:rsid w:val="00F25155"/>
    <w:rsid w:val="00F25370"/>
    <w:rsid w:val="00F26CDE"/>
    <w:rsid w:val="00F277A8"/>
    <w:rsid w:val="00F303C7"/>
    <w:rsid w:val="00F30401"/>
    <w:rsid w:val="00F314B0"/>
    <w:rsid w:val="00F325B8"/>
    <w:rsid w:val="00F3350B"/>
    <w:rsid w:val="00F33A62"/>
    <w:rsid w:val="00F34EF1"/>
    <w:rsid w:val="00F355B5"/>
    <w:rsid w:val="00F377F3"/>
    <w:rsid w:val="00F406BD"/>
    <w:rsid w:val="00F406F9"/>
    <w:rsid w:val="00F4079B"/>
    <w:rsid w:val="00F40E3F"/>
    <w:rsid w:val="00F45337"/>
    <w:rsid w:val="00F45F84"/>
    <w:rsid w:val="00F4619E"/>
    <w:rsid w:val="00F469F8"/>
    <w:rsid w:val="00F476DC"/>
    <w:rsid w:val="00F508CA"/>
    <w:rsid w:val="00F50F9E"/>
    <w:rsid w:val="00F5144B"/>
    <w:rsid w:val="00F51983"/>
    <w:rsid w:val="00F52C35"/>
    <w:rsid w:val="00F575D3"/>
    <w:rsid w:val="00F5777F"/>
    <w:rsid w:val="00F63F9D"/>
    <w:rsid w:val="00F65202"/>
    <w:rsid w:val="00F664B1"/>
    <w:rsid w:val="00F7094C"/>
    <w:rsid w:val="00F70F33"/>
    <w:rsid w:val="00F71AB3"/>
    <w:rsid w:val="00F7299A"/>
    <w:rsid w:val="00F73610"/>
    <w:rsid w:val="00F7426C"/>
    <w:rsid w:val="00F76429"/>
    <w:rsid w:val="00F768C3"/>
    <w:rsid w:val="00F8013D"/>
    <w:rsid w:val="00F806A1"/>
    <w:rsid w:val="00F812C2"/>
    <w:rsid w:val="00F82161"/>
    <w:rsid w:val="00F827DA"/>
    <w:rsid w:val="00F848F5"/>
    <w:rsid w:val="00F8495E"/>
    <w:rsid w:val="00F84E44"/>
    <w:rsid w:val="00F85246"/>
    <w:rsid w:val="00F856B3"/>
    <w:rsid w:val="00F85FC8"/>
    <w:rsid w:val="00F9089C"/>
    <w:rsid w:val="00F90A0F"/>
    <w:rsid w:val="00F929CD"/>
    <w:rsid w:val="00F93A17"/>
    <w:rsid w:val="00F93B50"/>
    <w:rsid w:val="00F94001"/>
    <w:rsid w:val="00F94B6A"/>
    <w:rsid w:val="00F94BA2"/>
    <w:rsid w:val="00F95CEC"/>
    <w:rsid w:val="00F95D6F"/>
    <w:rsid w:val="00F96500"/>
    <w:rsid w:val="00F96A41"/>
    <w:rsid w:val="00F974E1"/>
    <w:rsid w:val="00FA2AC9"/>
    <w:rsid w:val="00FA2BD2"/>
    <w:rsid w:val="00FA37F3"/>
    <w:rsid w:val="00FA3EFC"/>
    <w:rsid w:val="00FA41F2"/>
    <w:rsid w:val="00FA51E1"/>
    <w:rsid w:val="00FA5816"/>
    <w:rsid w:val="00FA7A91"/>
    <w:rsid w:val="00FA7F77"/>
    <w:rsid w:val="00FB283C"/>
    <w:rsid w:val="00FB3A1C"/>
    <w:rsid w:val="00FB5862"/>
    <w:rsid w:val="00FB6106"/>
    <w:rsid w:val="00FB667F"/>
    <w:rsid w:val="00FB6BBA"/>
    <w:rsid w:val="00FC1B41"/>
    <w:rsid w:val="00FC2DA7"/>
    <w:rsid w:val="00FC32EC"/>
    <w:rsid w:val="00FC3A07"/>
    <w:rsid w:val="00FC41EF"/>
    <w:rsid w:val="00FC6E8A"/>
    <w:rsid w:val="00FC743E"/>
    <w:rsid w:val="00FC7F19"/>
    <w:rsid w:val="00FD1007"/>
    <w:rsid w:val="00FD5071"/>
    <w:rsid w:val="00FD6773"/>
    <w:rsid w:val="00FD7974"/>
    <w:rsid w:val="00FD7B18"/>
    <w:rsid w:val="00FE0FF6"/>
    <w:rsid w:val="00FE356B"/>
    <w:rsid w:val="00FE40E6"/>
    <w:rsid w:val="00FE569B"/>
    <w:rsid w:val="00FE6CC0"/>
    <w:rsid w:val="00FF2D78"/>
    <w:rsid w:val="00FF302D"/>
    <w:rsid w:val="00FF3529"/>
    <w:rsid w:val="00FF376D"/>
    <w:rsid w:val="00FF4575"/>
    <w:rsid w:val="00FF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table" w:customStyle="1" w:styleId="Tablaconcuadrcula1">
    <w:name w:val="Tabla con cuadrícula1"/>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B43BD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table" w:customStyle="1" w:styleId="Tablaconcuadrcula1">
    <w:name w:val="Tabla con cuadrícula1"/>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B43BD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FFB9-04FD-443F-BBD6-16431609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4402</Words>
  <Characters>24217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Federación</Company>
  <LinksUpToDate>false</LinksUpToDate>
  <CharactersWithSpaces>28562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Sierra Romo</dc:creator>
  <cp:lastModifiedBy>Rosario Dominguez Borjas</cp:lastModifiedBy>
  <cp:revision>2</cp:revision>
  <cp:lastPrinted>2016-04-27T01:22:00Z</cp:lastPrinted>
  <dcterms:created xsi:type="dcterms:W3CDTF">2016-08-31T21:55:00Z</dcterms:created>
  <dcterms:modified xsi:type="dcterms:W3CDTF">2016-09-01T01:08:00Z</dcterms:modified>
</cp:coreProperties>
</file>